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A8" w:rsidRPr="00A82BB4" w:rsidRDefault="00E14BA8" w:rsidP="00AC0D6E">
      <w:pPr>
        <w:spacing w:before="120" w:after="120"/>
        <w:jc w:val="both"/>
        <w:rPr>
          <w:rFonts w:ascii="Times New Roman" w:hAnsi="Times New Roman"/>
          <w:noProof/>
          <w:sz w:val="24"/>
          <w:szCs w:val="24"/>
          <w:lang w:val="en-US"/>
        </w:rPr>
      </w:pPr>
      <w:bookmarkStart w:id="0" w:name="_GoBack"/>
      <w:bookmarkEnd w:id="0"/>
    </w:p>
    <w:tbl>
      <w:tblPr>
        <w:tblpPr w:leftFromText="180" w:rightFromText="180" w:vertAnchor="text" w:horzAnchor="margin" w:tblpY="20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3"/>
      </w:tblGrid>
      <w:tr w:rsidR="00E14BA8" w:rsidRPr="009A62E2" w:rsidTr="00B44EE1">
        <w:trPr>
          <w:trHeight w:val="706"/>
        </w:trPr>
        <w:tc>
          <w:tcPr>
            <w:tcW w:w="9313" w:type="dxa"/>
            <w:shd w:val="clear" w:color="auto" w:fill="595959"/>
            <w:vAlign w:val="center"/>
          </w:tcPr>
          <w:p w:rsidR="00E14BA8" w:rsidRPr="009A62E2" w:rsidRDefault="00E14BA8" w:rsidP="00B44EE1">
            <w:pPr>
              <w:spacing w:after="0" w:line="240" w:lineRule="auto"/>
              <w:jc w:val="center"/>
              <w:rPr>
                <w:rFonts w:ascii="Times New Roman" w:hAnsi="Times New Roman"/>
                <w:b/>
                <w:color w:val="FFFFFF"/>
                <w:sz w:val="24"/>
                <w:szCs w:val="24"/>
              </w:rPr>
            </w:pPr>
            <w:r w:rsidRPr="009A62E2">
              <w:rPr>
                <w:rFonts w:ascii="Times New Roman" w:hAnsi="Times New Roman"/>
                <w:b/>
                <w:color w:val="FFFFFF"/>
                <w:sz w:val="24"/>
                <w:szCs w:val="24"/>
              </w:rPr>
              <w:t>TÜRKİYE DENETİM STANDARTLARI</w:t>
            </w:r>
          </w:p>
        </w:tc>
      </w:tr>
    </w:tbl>
    <w:p w:rsidR="00E14BA8" w:rsidRPr="00A82BB4" w:rsidRDefault="00E14BA8" w:rsidP="000F4ECC">
      <w:pPr>
        <w:spacing w:before="120" w:after="120"/>
        <w:jc w:val="both"/>
        <w:rPr>
          <w:rFonts w:ascii="Times New Roman" w:hAnsi="Times New Roman"/>
          <w:b/>
          <w:sz w:val="24"/>
          <w:szCs w:val="24"/>
        </w:rPr>
      </w:pPr>
    </w:p>
    <w:p w:rsidR="00E14BA8" w:rsidRPr="00A82BB4" w:rsidRDefault="00E14BA8" w:rsidP="000F4ECC">
      <w:pPr>
        <w:spacing w:before="120" w:after="120"/>
        <w:jc w:val="both"/>
        <w:rPr>
          <w:rFonts w:ascii="Times New Roman" w:hAnsi="Times New Roman"/>
          <w:b/>
          <w:sz w:val="24"/>
          <w:szCs w:val="24"/>
        </w:rPr>
      </w:pPr>
    </w:p>
    <w:tbl>
      <w:tblPr>
        <w:tblpPr w:leftFromText="180" w:rightFromText="180" w:vertAnchor="text" w:horzAnchor="margin" w:tblpX="1175" w:tblpY="3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122"/>
      </w:tblGrid>
      <w:tr w:rsidR="00E14BA8" w:rsidRPr="009A62E2" w:rsidTr="00134A61">
        <w:tc>
          <w:tcPr>
            <w:tcW w:w="7122" w:type="dxa"/>
          </w:tcPr>
          <w:p w:rsidR="00E14BA8" w:rsidRPr="009A62E2" w:rsidRDefault="00E14BA8" w:rsidP="00DB5C61">
            <w:pPr>
              <w:spacing w:after="0"/>
              <w:jc w:val="center"/>
              <w:rPr>
                <w:rFonts w:ascii="Times New Roman" w:hAnsi="Times New Roman"/>
                <w:noProof/>
                <w:sz w:val="24"/>
                <w:szCs w:val="24"/>
                <w:lang w:val="en-US"/>
              </w:rPr>
            </w:pPr>
            <w:r w:rsidRPr="009A62E2">
              <w:rPr>
                <w:rFonts w:ascii="Times New Roman" w:hAnsi="Times New Roman"/>
                <w:b/>
                <w:sz w:val="24"/>
                <w:szCs w:val="24"/>
              </w:rPr>
              <w:t xml:space="preserve">BAĞIMSIZ DENETİM STANDARDI 510 </w:t>
            </w:r>
          </w:p>
        </w:tc>
      </w:tr>
    </w:tbl>
    <w:p w:rsidR="00E14BA8" w:rsidRPr="00A82BB4" w:rsidRDefault="00E14BA8" w:rsidP="000F4ECC">
      <w:pPr>
        <w:spacing w:before="120" w:after="120"/>
        <w:jc w:val="both"/>
        <w:rPr>
          <w:rFonts w:ascii="Times New Roman" w:hAnsi="Times New Roman"/>
          <w:b/>
          <w:sz w:val="24"/>
          <w:szCs w:val="24"/>
        </w:rPr>
      </w:pPr>
    </w:p>
    <w:p w:rsidR="00E14BA8" w:rsidRPr="00A82BB4" w:rsidRDefault="00E14BA8" w:rsidP="000F4ECC">
      <w:pPr>
        <w:spacing w:before="120" w:after="120"/>
        <w:jc w:val="both"/>
        <w:rPr>
          <w:rFonts w:ascii="Times New Roman" w:hAnsi="Times New Roman"/>
          <w:b/>
          <w:sz w:val="24"/>
          <w:szCs w:val="24"/>
        </w:rPr>
      </w:pPr>
    </w:p>
    <w:p w:rsidR="00E14BA8" w:rsidRPr="00A82BB4" w:rsidRDefault="00E14BA8" w:rsidP="000F4ECC">
      <w:pPr>
        <w:spacing w:before="120" w:after="120"/>
        <w:jc w:val="both"/>
        <w:rPr>
          <w:rFonts w:ascii="Times New Roman" w:hAnsi="Times New Roman"/>
          <w:b/>
          <w:sz w:val="24"/>
          <w:szCs w:val="24"/>
        </w:rPr>
      </w:pPr>
    </w:p>
    <w:p w:rsidR="00E14BA8" w:rsidRPr="00A82BB4" w:rsidRDefault="00E14BA8" w:rsidP="000F4ECC">
      <w:pPr>
        <w:spacing w:before="120" w:after="120"/>
        <w:jc w:val="both"/>
        <w:rPr>
          <w:rFonts w:ascii="Times New Roman" w:hAnsi="Times New Roman"/>
          <w:b/>
          <w:i/>
          <w:sz w:val="24"/>
          <w:szCs w:val="24"/>
        </w:rPr>
      </w:pPr>
    </w:p>
    <w:p w:rsidR="00E14BA8" w:rsidRPr="00A82BB4" w:rsidRDefault="00E14BA8" w:rsidP="000F4ECC">
      <w:pPr>
        <w:spacing w:before="120" w:after="120"/>
        <w:jc w:val="center"/>
        <w:rPr>
          <w:rFonts w:ascii="Times New Roman" w:hAnsi="Times New Roman"/>
          <w:b/>
          <w:i/>
          <w:sz w:val="24"/>
          <w:szCs w:val="24"/>
        </w:rPr>
      </w:pPr>
      <w:r w:rsidRPr="00A82BB4">
        <w:rPr>
          <w:rFonts w:ascii="Times New Roman" w:hAnsi="Times New Roman"/>
          <w:b/>
          <w:i/>
          <w:sz w:val="24"/>
          <w:szCs w:val="24"/>
        </w:rPr>
        <w:t>İLK BAĞIMSIZ DENETİMLER – AÇILIŞ BAKİYELERİ</w:t>
      </w:r>
    </w:p>
    <w:p w:rsidR="00E14BA8" w:rsidRPr="00A82BB4" w:rsidRDefault="00E14BA8" w:rsidP="000F4ECC">
      <w:pPr>
        <w:spacing w:before="120" w:after="120"/>
        <w:jc w:val="both"/>
        <w:rPr>
          <w:rFonts w:ascii="Times New Roman" w:hAnsi="Times New Roman"/>
          <w:b/>
          <w:sz w:val="24"/>
          <w:szCs w:val="24"/>
        </w:rPr>
      </w:pPr>
    </w:p>
    <w:p w:rsidR="00E14BA8" w:rsidRDefault="00E14BA8" w:rsidP="000F4ECC">
      <w:pPr>
        <w:spacing w:before="120" w:after="120"/>
        <w:jc w:val="both"/>
        <w:rPr>
          <w:rFonts w:ascii="Times New Roman" w:hAnsi="Times New Roman"/>
          <w:b/>
          <w:sz w:val="24"/>
          <w:szCs w:val="24"/>
        </w:rPr>
      </w:pPr>
    </w:p>
    <w:p w:rsidR="00E14BA8" w:rsidRDefault="00E14BA8" w:rsidP="000F4ECC">
      <w:pPr>
        <w:spacing w:before="120" w:after="120"/>
        <w:jc w:val="both"/>
        <w:rPr>
          <w:rFonts w:ascii="Times New Roman" w:hAnsi="Times New Roman"/>
          <w:b/>
          <w:sz w:val="24"/>
          <w:szCs w:val="24"/>
        </w:rPr>
      </w:pPr>
    </w:p>
    <w:p w:rsidR="00E14BA8" w:rsidRDefault="00E14BA8" w:rsidP="000F4ECC">
      <w:pPr>
        <w:spacing w:before="120" w:after="120"/>
        <w:jc w:val="both"/>
        <w:rPr>
          <w:rFonts w:ascii="Times New Roman" w:hAnsi="Times New Roman"/>
          <w:b/>
          <w:sz w:val="24"/>
          <w:szCs w:val="24"/>
        </w:rPr>
      </w:pPr>
    </w:p>
    <w:p w:rsidR="00E14BA8" w:rsidRDefault="00E14BA8" w:rsidP="000F4ECC">
      <w:pPr>
        <w:spacing w:before="120" w:after="120"/>
        <w:jc w:val="both"/>
        <w:rPr>
          <w:rFonts w:ascii="Times New Roman" w:hAnsi="Times New Roman"/>
          <w:b/>
          <w:sz w:val="24"/>
          <w:szCs w:val="24"/>
        </w:rPr>
      </w:pPr>
    </w:p>
    <w:p w:rsidR="00E14BA8" w:rsidRDefault="00E14BA8" w:rsidP="000F4ECC">
      <w:pPr>
        <w:spacing w:before="120" w:after="120"/>
        <w:jc w:val="both"/>
        <w:rPr>
          <w:rFonts w:ascii="Times New Roman" w:hAnsi="Times New Roman"/>
          <w:b/>
          <w:sz w:val="24"/>
          <w:szCs w:val="24"/>
        </w:rPr>
      </w:pPr>
    </w:p>
    <w:p w:rsidR="00E14BA8" w:rsidRDefault="00E14BA8" w:rsidP="000F4ECC">
      <w:pPr>
        <w:spacing w:before="120" w:after="120"/>
        <w:jc w:val="both"/>
        <w:rPr>
          <w:rFonts w:ascii="Times New Roman" w:hAnsi="Times New Roman"/>
          <w:b/>
          <w:sz w:val="24"/>
          <w:szCs w:val="24"/>
        </w:rPr>
      </w:pPr>
    </w:p>
    <w:p w:rsidR="00E14BA8" w:rsidRDefault="00E14BA8" w:rsidP="000F4ECC">
      <w:pPr>
        <w:spacing w:before="120" w:after="120"/>
        <w:jc w:val="both"/>
        <w:rPr>
          <w:rFonts w:ascii="Times New Roman" w:hAnsi="Times New Roman"/>
          <w:b/>
          <w:sz w:val="24"/>
          <w:szCs w:val="24"/>
        </w:rPr>
      </w:pPr>
    </w:p>
    <w:p w:rsidR="00E14BA8" w:rsidRDefault="00E14BA8" w:rsidP="000F4ECC">
      <w:pPr>
        <w:spacing w:before="120" w:after="120"/>
        <w:jc w:val="both"/>
        <w:rPr>
          <w:rFonts w:ascii="Times New Roman" w:hAnsi="Times New Roman"/>
          <w:b/>
          <w:sz w:val="24"/>
          <w:szCs w:val="24"/>
        </w:rPr>
      </w:pPr>
    </w:p>
    <w:p w:rsidR="00E14BA8" w:rsidRDefault="00E14BA8" w:rsidP="000F4ECC">
      <w:pPr>
        <w:spacing w:before="120" w:after="120"/>
        <w:jc w:val="both"/>
        <w:rPr>
          <w:rFonts w:ascii="Times New Roman" w:hAnsi="Times New Roman"/>
          <w:b/>
          <w:sz w:val="24"/>
          <w:szCs w:val="24"/>
        </w:rPr>
      </w:pPr>
    </w:p>
    <w:p w:rsidR="00E14BA8" w:rsidRDefault="00E14BA8" w:rsidP="000F4ECC">
      <w:pPr>
        <w:spacing w:before="120" w:after="120"/>
        <w:jc w:val="both"/>
        <w:rPr>
          <w:rFonts w:ascii="Times New Roman" w:hAnsi="Times New Roman"/>
          <w:b/>
          <w:sz w:val="24"/>
          <w:szCs w:val="24"/>
        </w:rPr>
      </w:pPr>
    </w:p>
    <w:p w:rsidR="00E14BA8" w:rsidRPr="00B44EE1" w:rsidRDefault="00E14BA8" w:rsidP="000F4ECC">
      <w:pPr>
        <w:spacing w:before="120" w:after="120"/>
        <w:jc w:val="both"/>
        <w:rPr>
          <w:rFonts w:ascii="Times New Roman" w:hAnsi="Times New Roman"/>
          <w:b/>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Default="00E14BA8" w:rsidP="000F4ECC">
      <w:pPr>
        <w:spacing w:before="120" w:after="120"/>
        <w:jc w:val="both"/>
        <w:rPr>
          <w:rFonts w:ascii="Times New Roman" w:hAnsi="Times New Roman"/>
          <w:sz w:val="24"/>
          <w:szCs w:val="24"/>
        </w:rPr>
      </w:pPr>
    </w:p>
    <w:p w:rsidR="00E14BA8" w:rsidRDefault="00E14BA8" w:rsidP="000F4ECC">
      <w:pPr>
        <w:spacing w:before="120" w:after="120"/>
        <w:jc w:val="both"/>
        <w:rPr>
          <w:rFonts w:ascii="Times New Roman" w:hAnsi="Times New Roman"/>
          <w:sz w:val="24"/>
          <w:szCs w:val="24"/>
        </w:rPr>
      </w:pPr>
    </w:p>
    <w:p w:rsidR="00E14BA8" w:rsidRDefault="00E14BA8" w:rsidP="000F4ECC">
      <w:pPr>
        <w:spacing w:before="120" w:after="120"/>
        <w:jc w:val="both"/>
        <w:rPr>
          <w:rFonts w:ascii="Times New Roman" w:hAnsi="Times New Roman"/>
          <w:sz w:val="24"/>
          <w:szCs w:val="24"/>
        </w:rPr>
      </w:pPr>
    </w:p>
    <w:p w:rsidR="00E14BA8" w:rsidRDefault="00E14BA8" w:rsidP="000F4ECC">
      <w:pPr>
        <w:spacing w:before="120" w:after="120"/>
        <w:jc w:val="both"/>
        <w:rPr>
          <w:rFonts w:ascii="Times New Roman" w:hAnsi="Times New Roman"/>
          <w:sz w:val="24"/>
          <w:szCs w:val="24"/>
        </w:rPr>
      </w:pPr>
    </w:p>
    <w:p w:rsidR="00E14BA8"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DB5C61">
      <w:pPr>
        <w:spacing w:before="120" w:after="120"/>
        <w:jc w:val="center"/>
        <w:rPr>
          <w:rFonts w:ascii="Times New Roman" w:hAnsi="Times New Roman"/>
          <w:b/>
          <w:sz w:val="24"/>
          <w:szCs w:val="24"/>
        </w:rPr>
      </w:pPr>
      <w:r w:rsidRPr="00A82BB4">
        <w:rPr>
          <w:rFonts w:ascii="Times New Roman" w:hAnsi="Times New Roman"/>
          <w:b/>
          <w:sz w:val="24"/>
          <w:szCs w:val="24"/>
        </w:rPr>
        <w:lastRenderedPageBreak/>
        <w:t>BAĞIMSIZ DENETİM STANDARDI 510</w:t>
      </w:r>
    </w:p>
    <w:p w:rsidR="00E14BA8" w:rsidRPr="00A82BB4" w:rsidRDefault="00E14BA8" w:rsidP="00DB5C61">
      <w:pPr>
        <w:spacing w:before="120" w:after="120"/>
        <w:jc w:val="center"/>
        <w:rPr>
          <w:rFonts w:ascii="Times New Roman" w:hAnsi="Times New Roman"/>
          <w:b/>
          <w:sz w:val="24"/>
          <w:szCs w:val="24"/>
        </w:rPr>
      </w:pPr>
      <w:r w:rsidRPr="00A82BB4">
        <w:rPr>
          <w:rFonts w:ascii="Times New Roman" w:hAnsi="Times New Roman"/>
          <w:b/>
          <w:sz w:val="24"/>
          <w:szCs w:val="24"/>
        </w:rPr>
        <w:t>İLK BAĞIMSIZ DENETİMLER – AÇILIŞ BAKİYELERİ</w:t>
      </w:r>
    </w:p>
    <w:p w:rsidR="00E14BA8" w:rsidRPr="00A82BB4" w:rsidRDefault="006C6221" w:rsidP="000F4ECC">
      <w:pPr>
        <w:spacing w:before="120" w:after="120"/>
        <w:jc w:val="center"/>
        <w:rPr>
          <w:rFonts w:ascii="Times New Roman" w:hAnsi="Times New Roman"/>
          <w:b/>
          <w:sz w:val="24"/>
          <w:szCs w:val="24"/>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-69215</wp:posOffset>
                </wp:positionH>
                <wp:positionV relativeFrom="paragraph">
                  <wp:posOffset>245744</wp:posOffset>
                </wp:positionV>
                <wp:extent cx="5744210" cy="0"/>
                <wp:effectExtent l="0" t="0" r="27940" b="190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4210" cy="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Düz Bağlayıcı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19.35pt" to="446.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" strokecolor="windowText" strokeweight="1.25pt">
                <o:lock v:ext="edit" shapetype="f"/>
              </v:line>
            </w:pict>
          </mc:Fallback>
        </mc:AlternateContent>
      </w:r>
      <w:r w:rsidR="00E14BA8" w:rsidRPr="00A82BB4">
        <w:rPr>
          <w:rFonts w:ascii="Times New Roman" w:hAnsi="Times New Roman"/>
          <w:b/>
          <w:sz w:val="24"/>
          <w:szCs w:val="24"/>
        </w:rPr>
        <w:t>İÇİNDEKİLER</w:t>
      </w:r>
    </w:p>
    <w:p w:rsidR="00E14BA8" w:rsidRPr="00A82BB4" w:rsidRDefault="00E14BA8" w:rsidP="000F4ECC">
      <w:pPr>
        <w:spacing w:before="120" w:after="120"/>
        <w:jc w:val="right"/>
        <w:rPr>
          <w:rFonts w:ascii="Times New Roman" w:hAnsi="Times New Roman"/>
          <w:sz w:val="24"/>
          <w:szCs w:val="24"/>
        </w:rPr>
      </w:pPr>
      <w:r w:rsidRPr="00A82BB4">
        <w:rPr>
          <w:rFonts w:ascii="Times New Roman" w:hAnsi="Times New Roman"/>
          <w:sz w:val="24"/>
          <w:szCs w:val="24"/>
        </w:rPr>
        <w:tab/>
      </w:r>
      <w:r w:rsidRPr="00A82BB4">
        <w:rPr>
          <w:rFonts w:ascii="Times New Roman" w:hAnsi="Times New Roman"/>
          <w:sz w:val="24"/>
          <w:szCs w:val="24"/>
        </w:rPr>
        <w:tab/>
      </w:r>
      <w:r w:rsidRPr="00A82BB4">
        <w:rPr>
          <w:rFonts w:ascii="Times New Roman" w:hAnsi="Times New Roman"/>
          <w:sz w:val="24"/>
          <w:szCs w:val="24"/>
        </w:rPr>
        <w:tab/>
      </w:r>
      <w:r w:rsidRPr="00A82BB4">
        <w:rPr>
          <w:rFonts w:ascii="Times New Roman" w:hAnsi="Times New Roman"/>
          <w:sz w:val="24"/>
          <w:szCs w:val="24"/>
        </w:rPr>
        <w:tab/>
      </w:r>
      <w:r w:rsidRPr="00A82BB4">
        <w:rPr>
          <w:rFonts w:ascii="Times New Roman" w:hAnsi="Times New Roman"/>
          <w:sz w:val="24"/>
          <w:szCs w:val="24"/>
        </w:rPr>
        <w:tab/>
      </w:r>
      <w:r w:rsidRPr="00A82BB4">
        <w:rPr>
          <w:rFonts w:ascii="Times New Roman" w:hAnsi="Times New Roman"/>
          <w:sz w:val="24"/>
          <w:szCs w:val="24"/>
        </w:rPr>
        <w:tab/>
      </w:r>
      <w:r w:rsidRPr="00A82BB4">
        <w:rPr>
          <w:rFonts w:ascii="Times New Roman" w:hAnsi="Times New Roman"/>
          <w:sz w:val="24"/>
          <w:szCs w:val="24"/>
        </w:rPr>
        <w:tab/>
      </w:r>
      <w:r w:rsidRPr="00A82BB4">
        <w:rPr>
          <w:rFonts w:ascii="Times New Roman" w:hAnsi="Times New Roman"/>
          <w:sz w:val="24"/>
          <w:szCs w:val="24"/>
        </w:rPr>
        <w:tab/>
      </w:r>
      <w:r w:rsidRPr="00A82BB4">
        <w:rPr>
          <w:rFonts w:ascii="Times New Roman" w:hAnsi="Times New Roman"/>
          <w:sz w:val="24"/>
          <w:szCs w:val="24"/>
        </w:rPr>
        <w:tab/>
        <w:t xml:space="preserve">                                 Paragraf</w:t>
      </w:r>
    </w:p>
    <w:p w:rsidR="00E14BA8" w:rsidRPr="00A82BB4" w:rsidRDefault="00E14BA8" w:rsidP="000F4ECC">
      <w:pPr>
        <w:spacing w:before="120" w:after="120"/>
        <w:jc w:val="both"/>
        <w:rPr>
          <w:rFonts w:ascii="Times New Roman" w:hAnsi="Times New Roman"/>
          <w:b/>
          <w:sz w:val="24"/>
          <w:szCs w:val="24"/>
        </w:rPr>
      </w:pPr>
      <w:r w:rsidRPr="00A82BB4">
        <w:rPr>
          <w:rFonts w:ascii="Times New Roman" w:hAnsi="Times New Roman"/>
          <w:b/>
          <w:sz w:val="24"/>
          <w:szCs w:val="24"/>
        </w:rPr>
        <w:t>Giriş</w:t>
      </w:r>
    </w:p>
    <w:p w:rsidR="00E14BA8" w:rsidRPr="00A82BB4" w:rsidRDefault="00E14BA8" w:rsidP="00C63159">
      <w:pPr>
        <w:spacing w:before="120" w:after="120"/>
        <w:jc w:val="both"/>
        <w:rPr>
          <w:rFonts w:ascii="Times New Roman" w:hAnsi="Times New Roman"/>
          <w:sz w:val="24"/>
          <w:szCs w:val="24"/>
        </w:rPr>
      </w:pPr>
      <w:r w:rsidRPr="00A82BB4">
        <w:rPr>
          <w:rFonts w:ascii="Times New Roman" w:hAnsi="Times New Roman"/>
          <w:sz w:val="24"/>
          <w:szCs w:val="24"/>
        </w:rPr>
        <w:t>Kapsam</w:t>
      </w:r>
    </w:p>
    <w:p w:rsidR="00E14BA8" w:rsidRPr="00A82BB4" w:rsidRDefault="00E14BA8" w:rsidP="00C63159">
      <w:pPr>
        <w:spacing w:before="120" w:after="120"/>
        <w:jc w:val="both"/>
        <w:rPr>
          <w:rFonts w:ascii="Times New Roman" w:hAnsi="Times New Roman"/>
          <w:sz w:val="24"/>
          <w:szCs w:val="24"/>
        </w:rPr>
      </w:pPr>
      <w:r w:rsidRPr="00A82BB4">
        <w:rPr>
          <w:rFonts w:ascii="Times New Roman" w:hAnsi="Times New Roman"/>
          <w:sz w:val="24"/>
          <w:szCs w:val="24"/>
        </w:rPr>
        <w:t xml:space="preserve">Yürürlük Tarihi </w:t>
      </w:r>
    </w:p>
    <w:p w:rsidR="00E14BA8" w:rsidRPr="00A82BB4" w:rsidRDefault="00E14BA8" w:rsidP="00C63159">
      <w:pPr>
        <w:spacing w:before="120" w:after="120"/>
        <w:jc w:val="both"/>
        <w:rPr>
          <w:rFonts w:ascii="Times New Roman" w:hAnsi="Times New Roman"/>
          <w:b/>
          <w:sz w:val="24"/>
          <w:szCs w:val="24"/>
        </w:rPr>
      </w:pPr>
      <w:r w:rsidRPr="00A82BB4">
        <w:rPr>
          <w:rFonts w:ascii="Times New Roman" w:hAnsi="Times New Roman"/>
          <w:b/>
          <w:sz w:val="24"/>
          <w:szCs w:val="24"/>
        </w:rPr>
        <w:t>Amaç</w:t>
      </w:r>
      <w:r w:rsidRPr="00A82BB4">
        <w:rPr>
          <w:rFonts w:ascii="Times New Roman" w:hAnsi="Times New Roman"/>
          <w:sz w:val="24"/>
          <w:szCs w:val="24"/>
        </w:rPr>
        <w:t xml:space="preserve"> </w:t>
      </w:r>
    </w:p>
    <w:p w:rsidR="00E14BA8" w:rsidRPr="00A82BB4" w:rsidRDefault="00E14BA8" w:rsidP="00C63159">
      <w:pPr>
        <w:spacing w:before="120" w:after="120"/>
        <w:jc w:val="both"/>
        <w:rPr>
          <w:rFonts w:ascii="Times New Roman" w:hAnsi="Times New Roman"/>
          <w:b/>
          <w:sz w:val="24"/>
          <w:szCs w:val="24"/>
        </w:rPr>
      </w:pPr>
      <w:r w:rsidRPr="00A82BB4">
        <w:rPr>
          <w:rFonts w:ascii="Times New Roman" w:hAnsi="Times New Roman"/>
          <w:b/>
          <w:sz w:val="24"/>
          <w:szCs w:val="24"/>
        </w:rPr>
        <w:t xml:space="preserve">Tanımlar </w:t>
      </w:r>
    </w:p>
    <w:p w:rsidR="00E14BA8" w:rsidRPr="00A82BB4" w:rsidRDefault="00E14BA8" w:rsidP="001848AE">
      <w:pPr>
        <w:spacing w:before="120" w:after="120"/>
        <w:jc w:val="both"/>
        <w:rPr>
          <w:rFonts w:ascii="Times New Roman" w:hAnsi="Times New Roman"/>
          <w:b/>
          <w:sz w:val="24"/>
          <w:szCs w:val="24"/>
        </w:rPr>
      </w:pPr>
      <w:r w:rsidRPr="00A82BB4">
        <w:rPr>
          <w:rFonts w:ascii="Times New Roman" w:hAnsi="Times New Roman"/>
          <w:b/>
          <w:sz w:val="24"/>
          <w:szCs w:val="24"/>
        </w:rPr>
        <w:t>Ana Hükümler</w:t>
      </w:r>
    </w:p>
    <w:p w:rsidR="00E14BA8" w:rsidRPr="00A82BB4" w:rsidRDefault="00E14BA8" w:rsidP="00C63159">
      <w:pPr>
        <w:spacing w:before="120" w:after="120"/>
        <w:jc w:val="both"/>
        <w:rPr>
          <w:rFonts w:ascii="Times New Roman" w:hAnsi="Times New Roman"/>
          <w:sz w:val="24"/>
          <w:szCs w:val="24"/>
        </w:rPr>
      </w:pPr>
      <w:r w:rsidRPr="00A82BB4">
        <w:rPr>
          <w:rFonts w:ascii="Times New Roman" w:hAnsi="Times New Roman"/>
          <w:sz w:val="24"/>
          <w:szCs w:val="24"/>
        </w:rPr>
        <w:t xml:space="preserve">Denetim Prosedürleri </w:t>
      </w:r>
    </w:p>
    <w:p w:rsidR="00E14BA8" w:rsidRPr="00A82BB4" w:rsidRDefault="00E14BA8" w:rsidP="00C63159">
      <w:pPr>
        <w:spacing w:before="120" w:after="120"/>
        <w:jc w:val="both"/>
        <w:rPr>
          <w:rFonts w:ascii="Times New Roman" w:hAnsi="Times New Roman"/>
          <w:sz w:val="24"/>
          <w:szCs w:val="24"/>
        </w:rPr>
      </w:pPr>
      <w:r w:rsidRPr="00A82BB4">
        <w:rPr>
          <w:rFonts w:ascii="Times New Roman" w:hAnsi="Times New Roman"/>
          <w:sz w:val="24"/>
          <w:szCs w:val="24"/>
        </w:rPr>
        <w:t xml:space="preserve">Denetim Sonuçları ve Raporlama </w:t>
      </w:r>
    </w:p>
    <w:p w:rsidR="00E14BA8" w:rsidRPr="00A82BB4" w:rsidRDefault="00E14BA8" w:rsidP="001848AE">
      <w:pPr>
        <w:spacing w:before="120" w:after="120"/>
        <w:jc w:val="both"/>
        <w:rPr>
          <w:rFonts w:ascii="Times New Roman" w:hAnsi="Times New Roman"/>
          <w:b/>
          <w:sz w:val="24"/>
          <w:szCs w:val="24"/>
        </w:rPr>
      </w:pPr>
      <w:r w:rsidRPr="00A82BB4">
        <w:rPr>
          <w:rFonts w:ascii="Times New Roman" w:hAnsi="Times New Roman"/>
          <w:b/>
          <w:sz w:val="24"/>
          <w:szCs w:val="24"/>
        </w:rPr>
        <w:t>Açıklayıcı Hükümler ve Uygulama</w:t>
      </w:r>
    </w:p>
    <w:p w:rsidR="00E14BA8" w:rsidRPr="00A82BB4" w:rsidRDefault="00E14BA8" w:rsidP="00C63159">
      <w:pPr>
        <w:spacing w:before="120" w:after="120"/>
        <w:jc w:val="both"/>
        <w:rPr>
          <w:rFonts w:ascii="Times New Roman" w:hAnsi="Times New Roman"/>
          <w:sz w:val="24"/>
          <w:szCs w:val="24"/>
        </w:rPr>
      </w:pPr>
      <w:r w:rsidRPr="00A82BB4">
        <w:rPr>
          <w:rFonts w:ascii="Times New Roman" w:hAnsi="Times New Roman"/>
          <w:sz w:val="24"/>
          <w:szCs w:val="24"/>
        </w:rPr>
        <w:t xml:space="preserve">Denetim Prosedürleri </w:t>
      </w:r>
    </w:p>
    <w:p w:rsidR="00E14BA8" w:rsidRPr="00A82BB4" w:rsidRDefault="00E14BA8" w:rsidP="00C63159">
      <w:pPr>
        <w:spacing w:before="120" w:after="120"/>
        <w:jc w:val="both"/>
        <w:rPr>
          <w:rFonts w:ascii="Times New Roman" w:hAnsi="Times New Roman"/>
          <w:sz w:val="24"/>
          <w:szCs w:val="24"/>
        </w:rPr>
      </w:pPr>
      <w:r w:rsidRPr="00A82BB4">
        <w:rPr>
          <w:rFonts w:ascii="Times New Roman" w:hAnsi="Times New Roman"/>
          <w:sz w:val="24"/>
          <w:szCs w:val="24"/>
        </w:rPr>
        <w:t xml:space="preserve">Denetim Sonuçları ve Raporlama </w:t>
      </w:r>
    </w:p>
    <w:p w:rsidR="00E14BA8" w:rsidRPr="00A82BB4" w:rsidRDefault="00E14BA8" w:rsidP="001848AE">
      <w:pPr>
        <w:spacing w:before="120" w:after="120"/>
        <w:jc w:val="both"/>
        <w:rPr>
          <w:rFonts w:ascii="Times New Roman" w:hAnsi="Times New Roman"/>
          <w:sz w:val="24"/>
          <w:szCs w:val="24"/>
        </w:rPr>
      </w:pPr>
      <w:r w:rsidRPr="00A82BB4">
        <w:rPr>
          <w:rFonts w:ascii="Times New Roman" w:hAnsi="Times New Roman"/>
          <w:sz w:val="24"/>
          <w:szCs w:val="24"/>
        </w:rPr>
        <w:t xml:space="preserve">Ek: </w:t>
      </w:r>
      <w:r>
        <w:rPr>
          <w:rFonts w:ascii="Times New Roman" w:hAnsi="Times New Roman"/>
          <w:sz w:val="24"/>
          <w:szCs w:val="24"/>
        </w:rPr>
        <w:t xml:space="preserve">Denetçi Raporunda Sınırlı </w:t>
      </w:r>
      <w:r w:rsidRPr="00A82BB4">
        <w:rPr>
          <w:rFonts w:ascii="Times New Roman" w:hAnsi="Times New Roman"/>
          <w:sz w:val="24"/>
          <w:szCs w:val="24"/>
        </w:rPr>
        <w:t xml:space="preserve">Olumlu Görüş </w:t>
      </w:r>
      <w:r>
        <w:rPr>
          <w:rFonts w:ascii="Times New Roman" w:hAnsi="Times New Roman"/>
          <w:sz w:val="24"/>
          <w:szCs w:val="24"/>
        </w:rPr>
        <w:t>Verilmesine İlişkin Örnek</w:t>
      </w: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Pr="00A82BB4" w:rsidRDefault="00E14BA8" w:rsidP="000F4ECC">
      <w:pPr>
        <w:spacing w:before="120" w:after="120"/>
        <w:jc w:val="both"/>
        <w:rPr>
          <w:rFonts w:ascii="Times New Roman" w:hAnsi="Times New Roman"/>
          <w:sz w:val="24"/>
          <w:szCs w:val="24"/>
        </w:rPr>
      </w:pPr>
    </w:p>
    <w:p w:rsidR="00E14BA8" w:rsidRDefault="00E14BA8" w:rsidP="000F4ECC">
      <w:pPr>
        <w:spacing w:before="120" w:after="120"/>
        <w:jc w:val="both"/>
        <w:rPr>
          <w:rFonts w:ascii="Times New Roman" w:hAnsi="Times New Roman"/>
          <w:sz w:val="24"/>
          <w:szCs w:val="24"/>
        </w:rPr>
      </w:pPr>
    </w:p>
    <w:p w:rsidR="00E14BA8" w:rsidRPr="00A82BB4" w:rsidRDefault="006C6221" w:rsidP="000F4ECC">
      <w:pPr>
        <w:spacing w:before="120" w:after="120"/>
        <w:jc w:val="both"/>
        <w:rPr>
          <w:rFonts w:ascii="Times New Roman" w:hAnsi="Times New Roman"/>
          <w:sz w:val="24"/>
          <w:szCs w:val="24"/>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3175</wp:posOffset>
                </wp:positionV>
                <wp:extent cx="5711825" cy="736600"/>
                <wp:effectExtent l="0" t="0" r="22225" b="2540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736600"/>
                        </a:xfrm>
                        <a:prstGeom prst="rect">
                          <a:avLst/>
                        </a:prstGeom>
                        <a:solidFill>
                          <a:srgbClr val="FFFFFF"/>
                        </a:solidFill>
                        <a:ln w="9525">
                          <a:solidFill>
                            <a:srgbClr val="000000"/>
                          </a:solidFill>
                          <a:miter lim="800000"/>
                          <a:headEnd/>
                          <a:tailEnd/>
                        </a:ln>
                      </wps:spPr>
                      <wps:txbx>
                        <w:txbxContent>
                          <w:p w:rsidR="00E14BA8" w:rsidRPr="00CA3975" w:rsidRDefault="00E14BA8" w:rsidP="00B4647D">
                            <w:pPr>
                              <w:jc w:val="both"/>
                              <w:rPr>
                                <w:rFonts w:ascii="Times New Roman" w:hAnsi="Times New Roman"/>
                                <w:sz w:val="24"/>
                                <w:szCs w:val="24"/>
                              </w:rPr>
                            </w:pPr>
                            <w:r>
                              <w:rPr>
                                <w:rFonts w:ascii="Times New Roman" w:hAnsi="Times New Roman"/>
                                <w:sz w:val="24"/>
                                <w:szCs w:val="24"/>
                              </w:rPr>
                              <w:t>Bağımsız</w:t>
                            </w:r>
                            <w:r w:rsidRPr="00CA3975">
                              <w:rPr>
                                <w:rFonts w:ascii="Times New Roman" w:hAnsi="Times New Roman"/>
                                <w:sz w:val="24"/>
                                <w:szCs w:val="24"/>
                              </w:rPr>
                              <w:t xml:space="preserve"> Denetim </w:t>
                            </w:r>
                            <w:r>
                              <w:rPr>
                                <w:rFonts w:ascii="Times New Roman" w:hAnsi="Times New Roman"/>
                                <w:sz w:val="24"/>
                                <w:szCs w:val="24"/>
                              </w:rPr>
                              <w:t>Standardı</w:t>
                            </w:r>
                            <w:r w:rsidRPr="00CA3975">
                              <w:rPr>
                                <w:rFonts w:ascii="Times New Roman" w:hAnsi="Times New Roman"/>
                                <w:sz w:val="24"/>
                                <w:szCs w:val="24"/>
                              </w:rPr>
                              <w:t xml:space="preserve"> (</w:t>
                            </w:r>
                            <w:r>
                              <w:rPr>
                                <w:rFonts w:ascii="Times New Roman" w:hAnsi="Times New Roman"/>
                                <w:sz w:val="24"/>
                                <w:szCs w:val="24"/>
                              </w:rPr>
                              <w:t>B</w:t>
                            </w:r>
                            <w:r w:rsidRPr="00CA3975">
                              <w:rPr>
                                <w:rFonts w:ascii="Times New Roman" w:hAnsi="Times New Roman"/>
                                <w:sz w:val="24"/>
                                <w:szCs w:val="24"/>
                              </w:rPr>
                              <w:t xml:space="preserve">DS) 510 “İlk </w:t>
                            </w:r>
                            <w:r>
                              <w:rPr>
                                <w:rFonts w:ascii="Times New Roman" w:hAnsi="Times New Roman"/>
                                <w:sz w:val="24"/>
                                <w:szCs w:val="24"/>
                              </w:rPr>
                              <w:t xml:space="preserve">Bağımsız </w:t>
                            </w:r>
                            <w:r w:rsidRPr="00CA3975">
                              <w:rPr>
                                <w:rFonts w:ascii="Times New Roman" w:hAnsi="Times New Roman"/>
                                <w:sz w:val="24"/>
                                <w:szCs w:val="24"/>
                              </w:rPr>
                              <w:t xml:space="preserve">Denetimler – Açılış Bakiyeleri”, </w:t>
                            </w:r>
                            <w:r>
                              <w:rPr>
                                <w:rFonts w:ascii="Times New Roman" w:hAnsi="Times New Roman"/>
                                <w:sz w:val="24"/>
                                <w:szCs w:val="24"/>
                              </w:rPr>
                              <w:t>B</w:t>
                            </w:r>
                            <w:r w:rsidRPr="00CA3975">
                              <w:rPr>
                                <w:rFonts w:ascii="Times New Roman" w:hAnsi="Times New Roman"/>
                                <w:sz w:val="24"/>
                                <w:szCs w:val="24"/>
                              </w:rPr>
                              <w:t>DS 200 “</w:t>
                            </w:r>
                            <w:r w:rsidRPr="00186A68">
                              <w:rPr>
                                <w:rFonts w:ascii="Times New Roman" w:hAnsi="Times New Roman"/>
                                <w:sz w:val="24"/>
                                <w:szCs w:val="24"/>
                              </w:rPr>
                              <w:t xml:space="preserve">Bağımsız Denetçinin Genel Amaçları </w:t>
                            </w:r>
                            <w:r>
                              <w:rPr>
                                <w:rFonts w:ascii="Times New Roman" w:hAnsi="Times New Roman"/>
                                <w:sz w:val="24"/>
                                <w:szCs w:val="24"/>
                              </w:rPr>
                              <w:t>v</w:t>
                            </w:r>
                            <w:r w:rsidRPr="00186A68">
                              <w:rPr>
                                <w:rFonts w:ascii="Times New Roman" w:hAnsi="Times New Roman"/>
                                <w:sz w:val="24"/>
                                <w:szCs w:val="24"/>
                              </w:rPr>
                              <w:t>e Bağımsız Denetimin Bağımsız Denetim Standartlarına Uygun Olarak Yürütülmesi</w:t>
                            </w:r>
                            <w:r w:rsidRPr="00CA3975">
                              <w:rPr>
                                <w:rFonts w:ascii="Times New Roman" w:hAnsi="Times New Roman"/>
                                <w:sz w:val="24"/>
                                <w:szCs w:val="24"/>
                              </w:rPr>
                              <w:t xml:space="preserve">” ile birlikte </w:t>
                            </w:r>
                            <w:r>
                              <w:rPr>
                                <w:rFonts w:ascii="Times New Roman" w:hAnsi="Times New Roman"/>
                                <w:sz w:val="24"/>
                                <w:szCs w:val="24"/>
                              </w:rPr>
                              <w:t>dikkate alınır</w:t>
                            </w:r>
                            <w:r w:rsidRPr="00CA3975">
                              <w:rPr>
                                <w:rFonts w:ascii="Times New Roman" w:hAnsi="Times New Roman"/>
                                <w:sz w:val="24"/>
                                <w:szCs w:val="24"/>
                              </w:rPr>
                              <w:t>.</w:t>
                            </w:r>
                          </w:p>
                          <w:p w:rsidR="00E14BA8" w:rsidRDefault="00E14BA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5pt;margin-top:.25pt;width:449.75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">
                <v:textbox>
                  <w:txbxContent>
                    <w:p w:rsidR="00E14BA8" w:rsidRPr="00CA3975" w:rsidRDefault="00E14BA8" w:rsidP="00B4647D">
                      <w:pPr>
                        <w:jc w:val="both"/>
                        <w:rPr>
                          <w:rFonts w:ascii="Times New Roman" w:hAnsi="Times New Roman"/>
                          <w:sz w:val="24"/>
                          <w:szCs w:val="24"/>
                        </w:rPr>
                      </w:pPr>
                      <w:r>
                        <w:rPr>
                          <w:rFonts w:ascii="Times New Roman" w:hAnsi="Times New Roman"/>
                          <w:sz w:val="24"/>
                          <w:szCs w:val="24"/>
                        </w:rPr>
                        <w:t>Bağımsız</w:t>
                      </w:r>
                      <w:r w:rsidRPr="00CA3975">
                        <w:rPr>
                          <w:rFonts w:ascii="Times New Roman" w:hAnsi="Times New Roman"/>
                          <w:sz w:val="24"/>
                          <w:szCs w:val="24"/>
                        </w:rPr>
                        <w:t xml:space="preserve"> Denetim </w:t>
                      </w:r>
                      <w:r>
                        <w:rPr>
                          <w:rFonts w:ascii="Times New Roman" w:hAnsi="Times New Roman"/>
                          <w:sz w:val="24"/>
                          <w:szCs w:val="24"/>
                        </w:rPr>
                        <w:t>Standardı</w:t>
                      </w:r>
                      <w:r w:rsidRPr="00CA3975">
                        <w:rPr>
                          <w:rFonts w:ascii="Times New Roman" w:hAnsi="Times New Roman"/>
                          <w:sz w:val="24"/>
                          <w:szCs w:val="24"/>
                        </w:rPr>
                        <w:t xml:space="preserve"> (</w:t>
                      </w:r>
                      <w:r>
                        <w:rPr>
                          <w:rFonts w:ascii="Times New Roman" w:hAnsi="Times New Roman"/>
                          <w:sz w:val="24"/>
                          <w:szCs w:val="24"/>
                        </w:rPr>
                        <w:t>B</w:t>
                      </w:r>
                      <w:r w:rsidRPr="00CA3975">
                        <w:rPr>
                          <w:rFonts w:ascii="Times New Roman" w:hAnsi="Times New Roman"/>
                          <w:sz w:val="24"/>
                          <w:szCs w:val="24"/>
                        </w:rPr>
                        <w:t xml:space="preserve">DS) 510 “İlk </w:t>
                      </w:r>
                      <w:r>
                        <w:rPr>
                          <w:rFonts w:ascii="Times New Roman" w:hAnsi="Times New Roman"/>
                          <w:sz w:val="24"/>
                          <w:szCs w:val="24"/>
                        </w:rPr>
                        <w:t xml:space="preserve">Bağımsız </w:t>
                      </w:r>
                      <w:r w:rsidRPr="00CA3975">
                        <w:rPr>
                          <w:rFonts w:ascii="Times New Roman" w:hAnsi="Times New Roman"/>
                          <w:sz w:val="24"/>
                          <w:szCs w:val="24"/>
                        </w:rPr>
                        <w:t xml:space="preserve">Denetimler – Açılış Bakiyeleri”, </w:t>
                      </w:r>
                      <w:r>
                        <w:rPr>
                          <w:rFonts w:ascii="Times New Roman" w:hAnsi="Times New Roman"/>
                          <w:sz w:val="24"/>
                          <w:szCs w:val="24"/>
                        </w:rPr>
                        <w:t>B</w:t>
                      </w:r>
                      <w:r w:rsidRPr="00CA3975">
                        <w:rPr>
                          <w:rFonts w:ascii="Times New Roman" w:hAnsi="Times New Roman"/>
                          <w:sz w:val="24"/>
                          <w:szCs w:val="24"/>
                        </w:rPr>
                        <w:t>DS 200 “</w:t>
                      </w:r>
                      <w:r w:rsidRPr="00186A68">
                        <w:rPr>
                          <w:rFonts w:ascii="Times New Roman" w:hAnsi="Times New Roman"/>
                          <w:sz w:val="24"/>
                          <w:szCs w:val="24"/>
                        </w:rPr>
                        <w:t xml:space="preserve">Bağımsız Denetçinin Genel Amaçları </w:t>
                      </w:r>
                      <w:r>
                        <w:rPr>
                          <w:rFonts w:ascii="Times New Roman" w:hAnsi="Times New Roman"/>
                          <w:sz w:val="24"/>
                          <w:szCs w:val="24"/>
                        </w:rPr>
                        <w:t>v</w:t>
                      </w:r>
                      <w:r w:rsidRPr="00186A68">
                        <w:rPr>
                          <w:rFonts w:ascii="Times New Roman" w:hAnsi="Times New Roman"/>
                          <w:sz w:val="24"/>
                          <w:szCs w:val="24"/>
                        </w:rPr>
                        <w:t>e Bağımsız Denetimin Bağımsız Denetim Standartlarına Uygun Olarak Yürütülmesi</w:t>
                      </w:r>
                      <w:r w:rsidRPr="00CA3975">
                        <w:rPr>
                          <w:rFonts w:ascii="Times New Roman" w:hAnsi="Times New Roman"/>
                          <w:sz w:val="24"/>
                          <w:szCs w:val="24"/>
                        </w:rPr>
                        <w:t xml:space="preserve">” ile birlikte </w:t>
                      </w:r>
                      <w:r>
                        <w:rPr>
                          <w:rFonts w:ascii="Times New Roman" w:hAnsi="Times New Roman"/>
                          <w:sz w:val="24"/>
                          <w:szCs w:val="24"/>
                        </w:rPr>
                        <w:t>dikkate alınır</w:t>
                      </w:r>
                      <w:r w:rsidRPr="00CA3975">
                        <w:rPr>
                          <w:rFonts w:ascii="Times New Roman" w:hAnsi="Times New Roman"/>
                          <w:sz w:val="24"/>
                          <w:szCs w:val="24"/>
                        </w:rPr>
                        <w:t>.</w:t>
                      </w:r>
                    </w:p>
                    <w:p w:rsidR="00E14BA8" w:rsidRDefault="00E14BA8"/>
                  </w:txbxContent>
                </v:textbox>
              </v:shape>
            </w:pict>
          </mc:Fallback>
        </mc:AlternateContent>
      </w:r>
      <w:r w:rsidR="00E14BA8" w:rsidRPr="00A82BB4">
        <w:rPr>
          <w:rFonts w:ascii="Times New Roman" w:hAnsi="Times New Roman"/>
          <w:sz w:val="24"/>
          <w:szCs w:val="24"/>
        </w:rPr>
        <w:t xml:space="preserve"> alınır.</w:t>
      </w:r>
    </w:p>
    <w:p w:rsidR="00E14BA8" w:rsidRPr="00AC0D6E" w:rsidRDefault="00E14BA8" w:rsidP="00E44A1D">
      <w:pPr>
        <w:spacing w:before="120" w:after="120"/>
        <w:jc w:val="both"/>
        <w:rPr>
          <w:rFonts w:ascii="Times New Roman" w:hAnsi="Times New Roman"/>
          <w:b/>
          <w:sz w:val="27"/>
          <w:szCs w:val="27"/>
        </w:rPr>
      </w:pPr>
      <w:r w:rsidRPr="00A82BB4">
        <w:rPr>
          <w:rFonts w:ascii="Times New Roman" w:hAnsi="Times New Roman"/>
          <w:sz w:val="24"/>
          <w:szCs w:val="24"/>
        </w:rPr>
        <w:br w:type="page"/>
      </w:r>
      <w:r w:rsidRPr="00AC0D6E">
        <w:rPr>
          <w:rFonts w:ascii="Times New Roman" w:hAnsi="Times New Roman"/>
          <w:b/>
          <w:sz w:val="27"/>
          <w:szCs w:val="27"/>
        </w:rPr>
        <w:lastRenderedPageBreak/>
        <w:t>Giriş</w:t>
      </w:r>
    </w:p>
    <w:p w:rsidR="00E14BA8" w:rsidRPr="00A82BB4" w:rsidRDefault="00E14BA8" w:rsidP="000F4ECC">
      <w:pPr>
        <w:spacing w:before="120" w:after="120"/>
        <w:jc w:val="both"/>
        <w:rPr>
          <w:rFonts w:ascii="Times New Roman" w:hAnsi="Times New Roman"/>
          <w:b/>
          <w:sz w:val="24"/>
          <w:szCs w:val="24"/>
        </w:rPr>
      </w:pPr>
      <w:r w:rsidRPr="00A82BB4">
        <w:rPr>
          <w:rFonts w:ascii="Times New Roman" w:hAnsi="Times New Roman"/>
          <w:b/>
          <w:sz w:val="24"/>
          <w:szCs w:val="24"/>
        </w:rPr>
        <w:t>Kapsam</w:t>
      </w:r>
    </w:p>
    <w:p w:rsidR="00E14BA8" w:rsidRPr="00C35B39" w:rsidRDefault="00E14BA8" w:rsidP="000F4ECC">
      <w:pPr>
        <w:pStyle w:val="ListeParagraf"/>
        <w:numPr>
          <w:ilvl w:val="0"/>
          <w:numId w:val="12"/>
        </w:numPr>
        <w:spacing w:before="120" w:after="120"/>
        <w:ind w:hanging="720"/>
        <w:contextualSpacing w:val="0"/>
        <w:jc w:val="both"/>
        <w:rPr>
          <w:rFonts w:ascii="Times New Roman" w:hAnsi="Times New Roman"/>
          <w:noProof/>
          <w:sz w:val="24"/>
          <w:szCs w:val="24"/>
        </w:rPr>
      </w:pPr>
      <w:r w:rsidRPr="00C35B39">
        <w:rPr>
          <w:rFonts w:ascii="Times New Roman" w:hAnsi="Times New Roman"/>
          <w:noProof/>
          <w:sz w:val="24"/>
          <w:szCs w:val="24"/>
        </w:rPr>
        <w:t xml:space="preserve">Bu Bağımsız Denetim Standardı (BDS), ilk </w:t>
      </w:r>
      <w:r>
        <w:rPr>
          <w:rFonts w:ascii="Times New Roman" w:hAnsi="Times New Roman"/>
          <w:noProof/>
          <w:sz w:val="24"/>
          <w:szCs w:val="24"/>
        </w:rPr>
        <w:t>defa yapılan bir</w:t>
      </w:r>
      <w:r w:rsidRPr="00C35B39">
        <w:rPr>
          <w:rFonts w:ascii="Times New Roman" w:hAnsi="Times New Roman"/>
          <w:noProof/>
          <w:sz w:val="24"/>
          <w:szCs w:val="24"/>
        </w:rPr>
        <w:t xml:space="preserve"> denetimde</w:t>
      </w:r>
      <w:r>
        <w:rPr>
          <w:rFonts w:ascii="Times New Roman" w:hAnsi="Times New Roman"/>
          <w:noProof/>
          <w:sz w:val="24"/>
          <w:szCs w:val="24"/>
        </w:rPr>
        <w:t xml:space="preserve"> (ilk denetimde)</w:t>
      </w:r>
      <w:r w:rsidRPr="00C35B39">
        <w:rPr>
          <w:rFonts w:ascii="Times New Roman" w:hAnsi="Times New Roman"/>
          <w:noProof/>
          <w:sz w:val="24"/>
          <w:szCs w:val="24"/>
        </w:rPr>
        <w:t xml:space="preserve"> denetçi</w:t>
      </w:r>
      <w:r>
        <w:rPr>
          <w:rFonts w:ascii="Times New Roman" w:hAnsi="Times New Roman"/>
          <w:noProof/>
          <w:sz w:val="24"/>
          <w:szCs w:val="24"/>
        </w:rPr>
        <w:t>nin,</w:t>
      </w:r>
      <w:r w:rsidRPr="00C35B39">
        <w:rPr>
          <w:rFonts w:ascii="Times New Roman" w:hAnsi="Times New Roman"/>
          <w:noProof/>
          <w:sz w:val="24"/>
          <w:szCs w:val="24"/>
        </w:rPr>
        <w:t xml:space="preserve"> açılış bakiyelerine ilişkin sorumlulukları</w:t>
      </w:r>
      <w:r>
        <w:rPr>
          <w:rFonts w:ascii="Times New Roman" w:hAnsi="Times New Roman"/>
          <w:noProof/>
          <w:sz w:val="24"/>
          <w:szCs w:val="24"/>
        </w:rPr>
        <w:t>nı</w:t>
      </w:r>
      <w:r w:rsidRPr="00C35B39">
        <w:rPr>
          <w:rFonts w:ascii="Times New Roman" w:hAnsi="Times New Roman"/>
          <w:noProof/>
          <w:sz w:val="24"/>
          <w:szCs w:val="24"/>
        </w:rPr>
        <w:t xml:space="preserve"> düzenler. Açılış bakiyeleri, finansal tablolardaki tutarların yanı sıra dönem başında mevcut olan ve açıklanması gereken </w:t>
      </w:r>
      <w:r w:rsidRPr="00561D67">
        <w:rPr>
          <w:rFonts w:ascii="Times New Roman" w:hAnsi="Times New Roman"/>
          <w:noProof/>
          <w:sz w:val="24"/>
          <w:szCs w:val="24"/>
        </w:rPr>
        <w:t>şarta bağlı varlık ve yükümlülükler</w:t>
      </w:r>
      <w:r w:rsidRPr="00FA0605">
        <w:rPr>
          <w:rFonts w:ascii="Times New Roman" w:hAnsi="Times New Roman"/>
          <w:noProof/>
          <w:sz w:val="24"/>
          <w:szCs w:val="24"/>
        </w:rPr>
        <w:t xml:space="preserve"> </w:t>
      </w:r>
      <w:r>
        <w:rPr>
          <w:rFonts w:ascii="Times New Roman" w:hAnsi="Times New Roman"/>
          <w:noProof/>
          <w:sz w:val="24"/>
          <w:szCs w:val="24"/>
        </w:rPr>
        <w:t>ile</w:t>
      </w:r>
      <w:r w:rsidRPr="00CC584A">
        <w:rPr>
          <w:rFonts w:ascii="Times New Roman" w:hAnsi="Times New Roman"/>
          <w:noProof/>
          <w:sz w:val="24"/>
          <w:szCs w:val="24"/>
        </w:rPr>
        <w:t xml:space="preserve"> </w:t>
      </w:r>
      <w:r w:rsidRPr="0021192A">
        <w:rPr>
          <w:rFonts w:ascii="Times New Roman" w:hAnsi="Times New Roman"/>
          <w:noProof/>
          <w:sz w:val="24"/>
          <w:szCs w:val="24"/>
        </w:rPr>
        <w:t>taahhütle</w:t>
      </w:r>
      <w:r w:rsidRPr="00CC584A">
        <w:rPr>
          <w:rFonts w:ascii="Times New Roman" w:hAnsi="Times New Roman"/>
          <w:noProof/>
          <w:sz w:val="24"/>
          <w:szCs w:val="24"/>
        </w:rPr>
        <w:t xml:space="preserve">r gibi konuları da içerir. Finansal tabloların </w:t>
      </w:r>
      <w:r w:rsidRPr="0021192A">
        <w:rPr>
          <w:rFonts w:ascii="Times New Roman" w:hAnsi="Times New Roman"/>
          <w:noProof/>
          <w:sz w:val="24"/>
          <w:szCs w:val="24"/>
        </w:rPr>
        <w:t>karşılaştırmalı finansal bilgiler</w:t>
      </w:r>
      <w:r w:rsidRPr="00CC584A">
        <w:rPr>
          <w:rFonts w:ascii="Times New Roman" w:hAnsi="Times New Roman"/>
          <w:noProof/>
          <w:sz w:val="24"/>
          <w:szCs w:val="24"/>
        </w:rPr>
        <w:t xml:space="preserve"> içermesi</w:t>
      </w:r>
      <w:r w:rsidRPr="00C35B39">
        <w:rPr>
          <w:rFonts w:ascii="Times New Roman" w:hAnsi="Times New Roman"/>
          <w:noProof/>
          <w:sz w:val="24"/>
          <w:szCs w:val="24"/>
        </w:rPr>
        <w:t xml:space="preserve"> durumunda, BDS 710</w:t>
      </w:r>
      <w:r w:rsidRPr="00A82BB4">
        <w:rPr>
          <w:noProof/>
          <w:vertAlign w:val="superscript"/>
        </w:rPr>
        <w:footnoteReference w:id="1"/>
      </w:r>
      <w:r w:rsidRPr="00C35B39">
        <w:rPr>
          <w:rFonts w:ascii="Times New Roman" w:hAnsi="Times New Roman"/>
          <w:noProof/>
          <w:sz w:val="24"/>
          <w:szCs w:val="24"/>
        </w:rPr>
        <w:t>’da</w:t>
      </w:r>
      <w:r>
        <w:rPr>
          <w:rFonts w:ascii="Times New Roman" w:hAnsi="Times New Roman"/>
          <w:noProof/>
          <w:sz w:val="24"/>
          <w:szCs w:val="24"/>
        </w:rPr>
        <w:t xml:space="preserve"> yer alan </w:t>
      </w:r>
      <w:r w:rsidRPr="00AB2827">
        <w:rPr>
          <w:rFonts w:ascii="Times New Roman" w:hAnsi="Times New Roman"/>
          <w:sz w:val="24"/>
          <w:szCs w:val="24"/>
        </w:rPr>
        <w:t>hükümler d</w:t>
      </w:r>
      <w:r>
        <w:rPr>
          <w:rFonts w:ascii="Times New Roman" w:hAnsi="Times New Roman"/>
          <w:sz w:val="24"/>
          <w:szCs w:val="24"/>
        </w:rPr>
        <w:t>e</w:t>
      </w:r>
      <w:r w:rsidRPr="00C35B39">
        <w:rPr>
          <w:rFonts w:ascii="Times New Roman" w:hAnsi="Times New Roman"/>
          <w:noProof/>
          <w:sz w:val="24"/>
          <w:szCs w:val="24"/>
        </w:rPr>
        <w:t xml:space="preserve"> uygulanır. BDS 300</w:t>
      </w:r>
      <w:r w:rsidRPr="00A82BB4">
        <w:rPr>
          <w:noProof/>
          <w:vertAlign w:val="superscript"/>
        </w:rPr>
        <w:footnoteReference w:id="2"/>
      </w:r>
      <w:r w:rsidRPr="00C35B39">
        <w:rPr>
          <w:rFonts w:ascii="Times New Roman" w:hAnsi="Times New Roman"/>
          <w:noProof/>
          <w:sz w:val="24"/>
          <w:szCs w:val="24"/>
        </w:rPr>
        <w:t>, ilk denetim</w:t>
      </w:r>
      <w:r>
        <w:rPr>
          <w:rFonts w:ascii="Times New Roman" w:hAnsi="Times New Roman"/>
          <w:noProof/>
          <w:sz w:val="24"/>
          <w:szCs w:val="24"/>
        </w:rPr>
        <w:t>e başlamadan</w:t>
      </w:r>
      <w:r w:rsidRPr="00C35B39">
        <w:rPr>
          <w:rFonts w:ascii="Times New Roman" w:hAnsi="Times New Roman"/>
          <w:noProof/>
          <w:sz w:val="24"/>
          <w:szCs w:val="24"/>
        </w:rPr>
        <w:t xml:space="preserve"> önce </w:t>
      </w:r>
      <w:r>
        <w:rPr>
          <w:rFonts w:ascii="Times New Roman" w:hAnsi="Times New Roman"/>
          <w:noProof/>
          <w:sz w:val="24"/>
          <w:szCs w:val="24"/>
        </w:rPr>
        <w:t>yapılacak</w:t>
      </w:r>
      <w:r w:rsidRPr="00C35B39">
        <w:rPr>
          <w:rFonts w:ascii="Times New Roman" w:hAnsi="Times New Roman"/>
          <w:noProof/>
          <w:sz w:val="24"/>
          <w:szCs w:val="24"/>
        </w:rPr>
        <w:t xml:space="preserve"> </w:t>
      </w:r>
      <w:r>
        <w:rPr>
          <w:rFonts w:ascii="Times New Roman" w:hAnsi="Times New Roman"/>
          <w:noProof/>
          <w:sz w:val="24"/>
          <w:szCs w:val="24"/>
        </w:rPr>
        <w:t>çalışmalara</w:t>
      </w:r>
      <w:r w:rsidRPr="00C35B39">
        <w:rPr>
          <w:rFonts w:ascii="Times New Roman" w:hAnsi="Times New Roman"/>
          <w:noProof/>
          <w:sz w:val="24"/>
          <w:szCs w:val="24"/>
        </w:rPr>
        <w:t xml:space="preserve"> ilişkin il</w:t>
      </w:r>
      <w:r>
        <w:rPr>
          <w:rFonts w:ascii="Times New Roman" w:hAnsi="Times New Roman"/>
          <w:noProof/>
          <w:sz w:val="24"/>
          <w:szCs w:val="24"/>
        </w:rPr>
        <w:t>a</w:t>
      </w:r>
      <w:r w:rsidRPr="00C35B39">
        <w:rPr>
          <w:rFonts w:ascii="Times New Roman" w:hAnsi="Times New Roman"/>
          <w:noProof/>
          <w:sz w:val="24"/>
          <w:szCs w:val="24"/>
        </w:rPr>
        <w:t xml:space="preserve">ve hüküm ve </w:t>
      </w:r>
      <w:r>
        <w:rPr>
          <w:rFonts w:ascii="Times New Roman" w:hAnsi="Times New Roman"/>
          <w:noProof/>
          <w:sz w:val="24"/>
          <w:szCs w:val="24"/>
        </w:rPr>
        <w:t>açıklamalar</w:t>
      </w:r>
      <w:r w:rsidRPr="00C35B39">
        <w:rPr>
          <w:rFonts w:ascii="Times New Roman" w:hAnsi="Times New Roman"/>
          <w:noProof/>
          <w:sz w:val="24"/>
          <w:szCs w:val="24"/>
        </w:rPr>
        <w:t xml:space="preserve"> içerir.</w:t>
      </w:r>
    </w:p>
    <w:p w:rsidR="00E14BA8" w:rsidRPr="00A82BB4" w:rsidRDefault="00E14BA8" w:rsidP="000F4ECC">
      <w:pPr>
        <w:spacing w:before="120" w:after="120"/>
        <w:ind w:left="567" w:hanging="567"/>
        <w:jc w:val="both"/>
        <w:rPr>
          <w:rFonts w:ascii="Times New Roman" w:hAnsi="Times New Roman"/>
          <w:b/>
          <w:sz w:val="24"/>
          <w:szCs w:val="24"/>
        </w:rPr>
      </w:pPr>
      <w:r w:rsidRPr="00A82BB4">
        <w:rPr>
          <w:rFonts w:ascii="Times New Roman" w:hAnsi="Times New Roman"/>
          <w:b/>
          <w:sz w:val="24"/>
          <w:szCs w:val="24"/>
        </w:rPr>
        <w:t>Yürürlük Tarihi</w:t>
      </w:r>
    </w:p>
    <w:p w:rsidR="00E14BA8" w:rsidRPr="00C35B39" w:rsidRDefault="00E14BA8" w:rsidP="000F4ECC">
      <w:pPr>
        <w:pStyle w:val="ListeParagraf"/>
        <w:numPr>
          <w:ilvl w:val="0"/>
          <w:numId w:val="12"/>
        </w:numPr>
        <w:spacing w:before="120" w:after="120"/>
        <w:ind w:hanging="720"/>
        <w:contextualSpacing w:val="0"/>
        <w:jc w:val="both"/>
        <w:rPr>
          <w:rFonts w:ascii="Times New Roman" w:hAnsi="Times New Roman"/>
          <w:noProof/>
          <w:sz w:val="24"/>
          <w:szCs w:val="24"/>
        </w:rPr>
      </w:pPr>
      <w:r w:rsidRPr="00C35B39">
        <w:rPr>
          <w:rFonts w:ascii="Times New Roman" w:hAnsi="Times New Roman"/>
          <w:noProof/>
          <w:sz w:val="24"/>
          <w:szCs w:val="24"/>
        </w:rPr>
        <w:t>Bu BDS, 1/1/2013 tarihinde ve sonrasında başlayacak hesap dönemlerinden itibaren uygulanmak üzere yayımı tarihinde yürürlüğe girer.</w:t>
      </w:r>
    </w:p>
    <w:p w:rsidR="00E14BA8" w:rsidRPr="00AC0D6E" w:rsidRDefault="00E14BA8" w:rsidP="000F4ECC">
      <w:pPr>
        <w:spacing w:before="120" w:after="120"/>
        <w:ind w:left="567" w:hanging="567"/>
        <w:jc w:val="both"/>
        <w:rPr>
          <w:rFonts w:ascii="Times New Roman" w:hAnsi="Times New Roman"/>
          <w:b/>
          <w:sz w:val="27"/>
          <w:szCs w:val="27"/>
        </w:rPr>
      </w:pPr>
      <w:r w:rsidRPr="00AC0D6E">
        <w:rPr>
          <w:rFonts w:ascii="Times New Roman" w:hAnsi="Times New Roman"/>
          <w:b/>
          <w:sz w:val="27"/>
          <w:szCs w:val="27"/>
        </w:rPr>
        <w:t>Amaç</w:t>
      </w:r>
    </w:p>
    <w:p w:rsidR="00E14BA8" w:rsidRPr="00E75013" w:rsidRDefault="00E14BA8" w:rsidP="000F4ECC">
      <w:pPr>
        <w:pStyle w:val="ListeParagraf"/>
        <w:numPr>
          <w:ilvl w:val="0"/>
          <w:numId w:val="12"/>
        </w:numPr>
        <w:spacing w:before="120" w:after="120"/>
        <w:ind w:hanging="720"/>
        <w:contextualSpacing w:val="0"/>
        <w:jc w:val="both"/>
        <w:rPr>
          <w:rFonts w:ascii="Times New Roman" w:hAnsi="Times New Roman"/>
          <w:noProof/>
          <w:sz w:val="24"/>
          <w:szCs w:val="24"/>
        </w:rPr>
      </w:pPr>
      <w:r w:rsidRPr="00C35B39">
        <w:rPr>
          <w:rFonts w:ascii="Times New Roman" w:hAnsi="Times New Roman"/>
          <w:noProof/>
          <w:sz w:val="24"/>
          <w:szCs w:val="24"/>
        </w:rPr>
        <w:t>İlk denetimin yürütülmesinde denetçinin açılış bakiyelerine ilişkin amacı</w:t>
      </w:r>
      <w:r>
        <w:rPr>
          <w:rFonts w:ascii="Times New Roman" w:hAnsi="Times New Roman"/>
          <w:noProof/>
          <w:sz w:val="24"/>
          <w:szCs w:val="24"/>
        </w:rPr>
        <w:t>,</w:t>
      </w:r>
      <w:r w:rsidRPr="00C35B39">
        <w:rPr>
          <w:rFonts w:ascii="Times New Roman" w:hAnsi="Times New Roman"/>
          <w:noProof/>
          <w:sz w:val="24"/>
          <w:szCs w:val="24"/>
        </w:rPr>
        <w:t xml:space="preserve"> aşağıdaki hususlara yönelik yeterli ve uygun </w:t>
      </w:r>
      <w:r w:rsidRPr="00E75013">
        <w:rPr>
          <w:rFonts w:ascii="Times New Roman" w:hAnsi="Times New Roman"/>
          <w:noProof/>
          <w:sz w:val="24"/>
          <w:szCs w:val="24"/>
        </w:rPr>
        <w:t>denetim kanıtı elde etmektir:</w:t>
      </w:r>
    </w:p>
    <w:p w:rsidR="00E14BA8" w:rsidRPr="00C35B39" w:rsidRDefault="00E14BA8" w:rsidP="000038FD">
      <w:pPr>
        <w:pStyle w:val="ListeParagraf"/>
        <w:numPr>
          <w:ilvl w:val="1"/>
          <w:numId w:val="13"/>
        </w:numPr>
        <w:spacing w:before="120" w:after="120"/>
        <w:ind w:left="1418" w:hanging="709"/>
        <w:contextualSpacing w:val="0"/>
        <w:jc w:val="both"/>
        <w:rPr>
          <w:rFonts w:ascii="Times New Roman" w:hAnsi="Times New Roman"/>
          <w:noProof/>
          <w:sz w:val="24"/>
          <w:szCs w:val="24"/>
        </w:rPr>
      </w:pPr>
      <w:r w:rsidRPr="00E75013">
        <w:rPr>
          <w:rFonts w:ascii="Times New Roman" w:hAnsi="Times New Roman"/>
          <w:noProof/>
          <w:sz w:val="24"/>
          <w:szCs w:val="24"/>
        </w:rPr>
        <w:t xml:space="preserve">Açılış bakiyelerinin cari dönem finansal tablolarını </w:t>
      </w:r>
      <w:r w:rsidRPr="0021192A">
        <w:rPr>
          <w:rFonts w:ascii="Times New Roman" w:hAnsi="Times New Roman"/>
          <w:noProof/>
          <w:sz w:val="24"/>
          <w:szCs w:val="24"/>
        </w:rPr>
        <w:t>önemli derecede</w:t>
      </w:r>
      <w:r w:rsidRPr="00E75013">
        <w:rPr>
          <w:rFonts w:ascii="Times New Roman" w:hAnsi="Times New Roman"/>
          <w:noProof/>
          <w:sz w:val="24"/>
          <w:szCs w:val="24"/>
        </w:rPr>
        <w:t xml:space="preserve"> etkileyen</w:t>
      </w:r>
      <w:r w:rsidRPr="00C35B39">
        <w:rPr>
          <w:rFonts w:ascii="Times New Roman" w:hAnsi="Times New Roman"/>
          <w:noProof/>
          <w:sz w:val="24"/>
          <w:szCs w:val="24"/>
        </w:rPr>
        <w:t xml:space="preserve"> yanlışlıklar içerip içermediği ve</w:t>
      </w:r>
    </w:p>
    <w:p w:rsidR="00E14BA8" w:rsidRPr="00C35B39" w:rsidRDefault="00E14BA8" w:rsidP="000038FD">
      <w:pPr>
        <w:pStyle w:val="ListeParagraf"/>
        <w:numPr>
          <w:ilvl w:val="1"/>
          <w:numId w:val="13"/>
        </w:numPr>
        <w:spacing w:before="120" w:after="120"/>
        <w:ind w:left="1418" w:hanging="709"/>
        <w:contextualSpacing w:val="0"/>
        <w:jc w:val="both"/>
        <w:rPr>
          <w:rFonts w:ascii="Times New Roman" w:hAnsi="Times New Roman"/>
          <w:noProof/>
          <w:sz w:val="24"/>
          <w:szCs w:val="24"/>
        </w:rPr>
      </w:pPr>
      <w:r w:rsidRPr="00C35B39">
        <w:rPr>
          <w:rFonts w:ascii="Times New Roman" w:hAnsi="Times New Roman"/>
          <w:noProof/>
          <w:sz w:val="24"/>
          <w:szCs w:val="24"/>
        </w:rPr>
        <w:t>Açılış bakiyelerin</w:t>
      </w:r>
      <w:r>
        <w:rPr>
          <w:rFonts w:ascii="Times New Roman" w:hAnsi="Times New Roman"/>
          <w:noProof/>
          <w:sz w:val="24"/>
          <w:szCs w:val="24"/>
        </w:rPr>
        <w:t>de</w:t>
      </w:r>
      <w:r w:rsidRPr="00C35B39">
        <w:rPr>
          <w:rFonts w:ascii="Times New Roman" w:hAnsi="Times New Roman"/>
          <w:noProof/>
          <w:sz w:val="24"/>
          <w:szCs w:val="24"/>
        </w:rPr>
        <w:t xml:space="preserve"> yansıtılan uygun muhasebe politikalarının cari dönem finansal tablolarında tutarlı bir şekilde uygulanıp uygulanmadığı veya bu politikalarda meydana gelen değişikliklerin </w:t>
      </w:r>
      <w:r w:rsidRPr="00111CB4">
        <w:rPr>
          <w:rFonts w:ascii="Times New Roman" w:hAnsi="Times New Roman"/>
          <w:sz w:val="24"/>
          <w:szCs w:val="24"/>
        </w:rPr>
        <w:t>geçerli finansal raporlama çerçevesine</w:t>
      </w:r>
      <w:r w:rsidRPr="00C35B39">
        <w:rPr>
          <w:rFonts w:ascii="Times New Roman" w:hAnsi="Times New Roman"/>
          <w:noProof/>
          <w:sz w:val="24"/>
          <w:szCs w:val="24"/>
        </w:rPr>
        <w:t xml:space="preserve"> uygun bir </w:t>
      </w:r>
      <w:r>
        <w:rPr>
          <w:rFonts w:ascii="Times New Roman" w:hAnsi="Times New Roman"/>
          <w:noProof/>
          <w:sz w:val="24"/>
          <w:szCs w:val="24"/>
        </w:rPr>
        <w:t>biçimde</w:t>
      </w:r>
      <w:r w:rsidRPr="00C35B39">
        <w:rPr>
          <w:rFonts w:ascii="Times New Roman" w:hAnsi="Times New Roman"/>
          <w:noProof/>
          <w:sz w:val="24"/>
          <w:szCs w:val="24"/>
        </w:rPr>
        <w:t xml:space="preserve"> </w:t>
      </w:r>
      <w:r>
        <w:rPr>
          <w:rFonts w:ascii="Times New Roman" w:hAnsi="Times New Roman"/>
          <w:noProof/>
          <w:sz w:val="24"/>
          <w:szCs w:val="24"/>
        </w:rPr>
        <w:t>uygulanıp uygulanmadığı,</w:t>
      </w:r>
      <w:r w:rsidRPr="00C35B39">
        <w:rPr>
          <w:rFonts w:ascii="Times New Roman" w:hAnsi="Times New Roman"/>
          <w:noProof/>
          <w:sz w:val="24"/>
          <w:szCs w:val="24"/>
        </w:rPr>
        <w:t xml:space="preserve"> </w:t>
      </w:r>
      <w:r w:rsidRPr="00AB2827">
        <w:rPr>
          <w:rFonts w:ascii="Times New Roman" w:hAnsi="Times New Roman"/>
          <w:noProof/>
          <w:sz w:val="24"/>
          <w:szCs w:val="24"/>
        </w:rPr>
        <w:t>yeterli şekilde</w:t>
      </w:r>
      <w:r w:rsidRPr="00C35B39">
        <w:rPr>
          <w:rFonts w:ascii="Times New Roman" w:hAnsi="Times New Roman"/>
          <w:noProof/>
          <w:sz w:val="24"/>
          <w:szCs w:val="24"/>
        </w:rPr>
        <w:t xml:space="preserve"> sunulup sunulmadığı ve açıklanıp açıklanmadığı.</w:t>
      </w:r>
    </w:p>
    <w:p w:rsidR="00E14BA8" w:rsidRPr="00AC0D6E" w:rsidRDefault="00E14BA8" w:rsidP="000F4ECC">
      <w:pPr>
        <w:spacing w:before="120" w:after="120"/>
        <w:ind w:left="567" w:hanging="567"/>
        <w:jc w:val="both"/>
        <w:rPr>
          <w:rFonts w:ascii="Times New Roman" w:hAnsi="Times New Roman"/>
          <w:b/>
          <w:sz w:val="27"/>
          <w:szCs w:val="27"/>
        </w:rPr>
      </w:pPr>
      <w:r w:rsidRPr="00AC0D6E">
        <w:rPr>
          <w:rFonts w:ascii="Times New Roman" w:hAnsi="Times New Roman"/>
          <w:b/>
          <w:sz w:val="27"/>
          <w:szCs w:val="27"/>
        </w:rPr>
        <w:t>Tanımlar</w:t>
      </w:r>
    </w:p>
    <w:p w:rsidR="00E14BA8" w:rsidRDefault="00E14BA8" w:rsidP="000F4ECC">
      <w:pPr>
        <w:pStyle w:val="ListeParagraf"/>
        <w:numPr>
          <w:ilvl w:val="0"/>
          <w:numId w:val="12"/>
        </w:numPr>
        <w:spacing w:before="120" w:after="120"/>
        <w:ind w:hanging="720"/>
        <w:contextualSpacing w:val="0"/>
        <w:jc w:val="both"/>
        <w:rPr>
          <w:rFonts w:ascii="Times New Roman" w:hAnsi="Times New Roman"/>
          <w:noProof/>
          <w:sz w:val="24"/>
          <w:szCs w:val="24"/>
        </w:rPr>
      </w:pPr>
      <w:r w:rsidRPr="00111CB4">
        <w:rPr>
          <w:rFonts w:ascii="Times New Roman" w:hAnsi="Times New Roman"/>
          <w:noProof/>
          <w:sz w:val="24"/>
          <w:szCs w:val="24"/>
        </w:rPr>
        <w:t>Aşağıdaki terimler BDS’lerde, karşılarında belirtilen anlamlarıyla kullanılmıştır:</w:t>
      </w:r>
      <w:r w:rsidRPr="00A82BB4">
        <w:rPr>
          <w:rFonts w:ascii="Times New Roman" w:hAnsi="Times New Roman"/>
          <w:noProof/>
          <w:sz w:val="24"/>
          <w:szCs w:val="24"/>
        </w:rPr>
        <w:t xml:space="preserve"> </w:t>
      </w:r>
    </w:p>
    <w:p w:rsidR="00E14BA8" w:rsidRDefault="00E14BA8" w:rsidP="0076185E">
      <w:pPr>
        <w:pStyle w:val="ListeParagraf"/>
        <w:numPr>
          <w:ilvl w:val="1"/>
          <w:numId w:val="15"/>
        </w:numPr>
        <w:spacing w:before="100" w:after="100"/>
        <w:ind w:left="1418" w:hanging="709"/>
        <w:contextualSpacing w:val="0"/>
        <w:jc w:val="both"/>
        <w:rPr>
          <w:rFonts w:ascii="Times New Roman" w:hAnsi="Times New Roman"/>
          <w:noProof/>
          <w:sz w:val="24"/>
          <w:szCs w:val="24"/>
        </w:rPr>
      </w:pPr>
      <w:r w:rsidRPr="00A82BB4">
        <w:rPr>
          <w:rFonts w:ascii="Times New Roman" w:hAnsi="Times New Roman"/>
          <w:noProof/>
          <w:sz w:val="24"/>
          <w:szCs w:val="24"/>
        </w:rPr>
        <w:t xml:space="preserve">Açılış bakiyeleri: </w:t>
      </w:r>
      <w:r w:rsidRPr="00111CB4">
        <w:rPr>
          <w:rFonts w:ascii="Times New Roman" w:hAnsi="Times New Roman"/>
          <w:noProof/>
          <w:sz w:val="24"/>
          <w:szCs w:val="24"/>
        </w:rPr>
        <w:t>Dönem başında mevcut olan hesap bakiyeleridir. Açılış bakiyeleri önceki dönem</w:t>
      </w:r>
      <w:r>
        <w:rPr>
          <w:rFonts w:ascii="Times New Roman" w:hAnsi="Times New Roman"/>
          <w:noProof/>
          <w:sz w:val="24"/>
          <w:szCs w:val="24"/>
        </w:rPr>
        <w:t xml:space="preserve">in </w:t>
      </w:r>
      <w:r w:rsidRPr="00111CB4">
        <w:rPr>
          <w:rFonts w:ascii="Times New Roman" w:hAnsi="Times New Roman"/>
          <w:noProof/>
          <w:sz w:val="24"/>
          <w:szCs w:val="24"/>
        </w:rPr>
        <w:t>kapanış bakiyelerine dayanır ve önceki dönem</w:t>
      </w:r>
      <w:r>
        <w:rPr>
          <w:rFonts w:ascii="Times New Roman" w:hAnsi="Times New Roman"/>
          <w:noProof/>
          <w:sz w:val="24"/>
          <w:szCs w:val="24"/>
        </w:rPr>
        <w:t>ler</w:t>
      </w:r>
      <w:r w:rsidRPr="00111CB4">
        <w:rPr>
          <w:rFonts w:ascii="Times New Roman" w:hAnsi="Times New Roman"/>
          <w:noProof/>
          <w:sz w:val="24"/>
          <w:szCs w:val="24"/>
        </w:rPr>
        <w:t>e ait işlem ve olaylar ile önceki dönemde uygulanan muhasebe politikalarının etkilerini yansıtır. Açılış bakiyeleri</w:t>
      </w:r>
      <w:r>
        <w:rPr>
          <w:rFonts w:ascii="Times New Roman" w:hAnsi="Times New Roman"/>
          <w:noProof/>
          <w:sz w:val="24"/>
          <w:szCs w:val="24"/>
        </w:rPr>
        <w:t>,</w:t>
      </w:r>
      <w:r w:rsidRPr="00111CB4">
        <w:rPr>
          <w:rFonts w:ascii="Times New Roman" w:hAnsi="Times New Roman"/>
          <w:noProof/>
          <w:sz w:val="24"/>
          <w:szCs w:val="24"/>
        </w:rPr>
        <w:t xml:space="preserve"> </w:t>
      </w:r>
      <w:r w:rsidRPr="00561D67">
        <w:rPr>
          <w:rFonts w:ascii="Times New Roman" w:hAnsi="Times New Roman"/>
          <w:noProof/>
          <w:sz w:val="24"/>
          <w:szCs w:val="24"/>
        </w:rPr>
        <w:t>şarta bağlı varlık ve yükümlülükler</w:t>
      </w:r>
      <w:r>
        <w:rPr>
          <w:rFonts w:ascii="Times New Roman" w:hAnsi="Times New Roman"/>
          <w:noProof/>
          <w:sz w:val="24"/>
          <w:szCs w:val="24"/>
        </w:rPr>
        <w:t xml:space="preserve"> ile</w:t>
      </w:r>
      <w:r w:rsidRPr="00111CB4">
        <w:rPr>
          <w:rFonts w:ascii="Times New Roman" w:hAnsi="Times New Roman"/>
          <w:noProof/>
          <w:sz w:val="24"/>
          <w:szCs w:val="24"/>
        </w:rPr>
        <w:t xml:space="preserve"> </w:t>
      </w:r>
      <w:r w:rsidRPr="0021192A">
        <w:rPr>
          <w:rFonts w:ascii="Times New Roman" w:hAnsi="Times New Roman"/>
          <w:noProof/>
          <w:sz w:val="24"/>
          <w:szCs w:val="24"/>
        </w:rPr>
        <w:t>taahhütler</w:t>
      </w:r>
      <w:r w:rsidRPr="00111CB4">
        <w:rPr>
          <w:rFonts w:ascii="Times New Roman" w:hAnsi="Times New Roman"/>
          <w:noProof/>
          <w:sz w:val="24"/>
          <w:szCs w:val="24"/>
        </w:rPr>
        <w:t xml:space="preserve"> gibi dönem başında var olan ve açıklanması gereken hususları da içerir.</w:t>
      </w:r>
    </w:p>
    <w:p w:rsidR="00E14BA8" w:rsidRDefault="00E14BA8" w:rsidP="0076185E">
      <w:pPr>
        <w:pStyle w:val="ListeParagraf"/>
        <w:numPr>
          <w:ilvl w:val="1"/>
          <w:numId w:val="15"/>
        </w:numPr>
        <w:spacing w:before="100" w:after="100"/>
        <w:ind w:left="1418" w:hanging="709"/>
        <w:contextualSpacing w:val="0"/>
        <w:jc w:val="both"/>
        <w:rPr>
          <w:rFonts w:ascii="Times New Roman" w:hAnsi="Times New Roman"/>
          <w:noProof/>
          <w:sz w:val="24"/>
          <w:szCs w:val="24"/>
        </w:rPr>
      </w:pPr>
      <w:r w:rsidRPr="005E4CE9">
        <w:rPr>
          <w:rFonts w:ascii="Times New Roman" w:hAnsi="Times New Roman"/>
          <w:noProof/>
          <w:sz w:val="24"/>
          <w:szCs w:val="24"/>
        </w:rPr>
        <w:t>İlk denetim:</w:t>
      </w:r>
    </w:p>
    <w:p w:rsidR="00E14BA8" w:rsidRDefault="00E14BA8" w:rsidP="0076185E">
      <w:pPr>
        <w:pStyle w:val="ListeParagraf"/>
        <w:numPr>
          <w:ilvl w:val="0"/>
          <w:numId w:val="16"/>
        </w:numPr>
        <w:spacing w:before="100" w:after="100"/>
        <w:ind w:left="1418" w:firstLine="0"/>
        <w:contextualSpacing w:val="0"/>
        <w:jc w:val="both"/>
        <w:rPr>
          <w:rFonts w:ascii="Times New Roman" w:hAnsi="Times New Roman"/>
          <w:noProof/>
          <w:sz w:val="24"/>
          <w:szCs w:val="24"/>
        </w:rPr>
      </w:pPr>
      <w:r w:rsidRPr="00C35B39">
        <w:rPr>
          <w:rFonts w:ascii="Times New Roman" w:hAnsi="Times New Roman"/>
          <w:noProof/>
          <w:sz w:val="24"/>
          <w:szCs w:val="24"/>
        </w:rPr>
        <w:t>Önceki döneme ait finansal tabloların denetlenmemiş olduğu veya</w:t>
      </w:r>
    </w:p>
    <w:p w:rsidR="00E14BA8" w:rsidRDefault="00E14BA8" w:rsidP="0076185E">
      <w:pPr>
        <w:pStyle w:val="ListeParagraf"/>
        <w:numPr>
          <w:ilvl w:val="0"/>
          <w:numId w:val="16"/>
        </w:numPr>
        <w:spacing w:before="100" w:after="100"/>
        <w:ind w:left="2127" w:hanging="709"/>
        <w:contextualSpacing w:val="0"/>
        <w:jc w:val="both"/>
        <w:rPr>
          <w:rFonts w:ascii="Times New Roman" w:hAnsi="Times New Roman"/>
          <w:noProof/>
          <w:sz w:val="24"/>
          <w:szCs w:val="24"/>
        </w:rPr>
      </w:pPr>
      <w:r w:rsidRPr="00C35B39">
        <w:rPr>
          <w:rFonts w:ascii="Times New Roman" w:hAnsi="Times New Roman"/>
          <w:noProof/>
          <w:sz w:val="24"/>
          <w:szCs w:val="24"/>
        </w:rPr>
        <w:t xml:space="preserve">Önceki döneme ait finansal tabloların önceki denetçi tarafından denetlenmiş olduğu </w:t>
      </w:r>
    </w:p>
    <w:p w:rsidR="00E14BA8" w:rsidRPr="00AB2827" w:rsidRDefault="00E14BA8" w:rsidP="0021192A">
      <w:pPr>
        <w:spacing w:before="120" w:after="120"/>
        <w:ind w:left="1418" w:hanging="2"/>
        <w:jc w:val="both"/>
        <w:rPr>
          <w:rFonts w:ascii="Times New Roman" w:hAnsi="Times New Roman"/>
          <w:noProof/>
          <w:sz w:val="24"/>
          <w:szCs w:val="24"/>
        </w:rPr>
      </w:pPr>
      <w:r w:rsidRPr="00F14879">
        <w:rPr>
          <w:rFonts w:ascii="Times New Roman" w:hAnsi="Times New Roman"/>
          <w:noProof/>
          <w:sz w:val="24"/>
          <w:szCs w:val="24"/>
        </w:rPr>
        <w:t>denetimdir.</w:t>
      </w:r>
    </w:p>
    <w:p w:rsidR="00E14BA8" w:rsidRPr="001C1918" w:rsidRDefault="00E14BA8" w:rsidP="0021192A">
      <w:pPr>
        <w:pStyle w:val="ListeParagraf"/>
        <w:numPr>
          <w:ilvl w:val="1"/>
          <w:numId w:val="15"/>
        </w:numPr>
        <w:spacing w:before="120" w:after="120"/>
        <w:ind w:left="1418" w:hanging="709"/>
        <w:contextualSpacing w:val="0"/>
        <w:jc w:val="both"/>
        <w:rPr>
          <w:rFonts w:ascii="Times New Roman" w:hAnsi="Times New Roman"/>
          <w:noProof/>
          <w:sz w:val="24"/>
          <w:szCs w:val="24"/>
        </w:rPr>
      </w:pPr>
      <w:r w:rsidRPr="00C35B39">
        <w:rPr>
          <w:rFonts w:ascii="Times New Roman" w:hAnsi="Times New Roman"/>
          <w:noProof/>
          <w:sz w:val="24"/>
          <w:szCs w:val="24"/>
        </w:rPr>
        <w:lastRenderedPageBreak/>
        <w:t xml:space="preserve">Önceki denetçi: Başka bir denetim </w:t>
      </w:r>
      <w:r w:rsidRPr="00E75013">
        <w:rPr>
          <w:rFonts w:ascii="Times New Roman" w:hAnsi="Times New Roman"/>
          <w:noProof/>
          <w:sz w:val="24"/>
          <w:szCs w:val="24"/>
        </w:rPr>
        <w:t>şirketind</w:t>
      </w:r>
      <w:r w:rsidRPr="001C1918">
        <w:rPr>
          <w:rFonts w:ascii="Times New Roman" w:hAnsi="Times New Roman"/>
          <w:noProof/>
          <w:sz w:val="24"/>
          <w:szCs w:val="24"/>
        </w:rPr>
        <w:t>e çalışan, önceki dönemde işletmenin finansal tablolarını denetlemiş olan ve cari dönem denetçi</w:t>
      </w:r>
      <w:r w:rsidRPr="0021192A">
        <w:rPr>
          <w:rFonts w:ascii="Times New Roman" w:hAnsi="Times New Roman"/>
          <w:noProof/>
          <w:sz w:val="24"/>
          <w:szCs w:val="24"/>
        </w:rPr>
        <w:t>sinin yerine  geçtiği</w:t>
      </w:r>
      <w:r w:rsidRPr="00E75013">
        <w:rPr>
          <w:rFonts w:ascii="Times New Roman" w:hAnsi="Times New Roman"/>
          <w:noProof/>
          <w:sz w:val="24"/>
          <w:szCs w:val="24"/>
        </w:rPr>
        <w:t xml:space="preserve"> denetçidir.</w:t>
      </w:r>
    </w:p>
    <w:p w:rsidR="00E14BA8" w:rsidRPr="00AC0D6E" w:rsidRDefault="00E14BA8" w:rsidP="00AC0D6E">
      <w:pPr>
        <w:spacing w:before="120" w:after="120"/>
        <w:ind w:left="567" w:hanging="567"/>
        <w:jc w:val="both"/>
        <w:rPr>
          <w:rFonts w:ascii="Times New Roman" w:hAnsi="Times New Roman"/>
          <w:b/>
          <w:sz w:val="27"/>
          <w:szCs w:val="27"/>
        </w:rPr>
      </w:pPr>
      <w:r w:rsidRPr="00AC0D6E">
        <w:rPr>
          <w:rFonts w:ascii="Times New Roman" w:hAnsi="Times New Roman"/>
          <w:b/>
          <w:sz w:val="27"/>
          <w:szCs w:val="27"/>
        </w:rPr>
        <w:t>Ana Hükümler</w:t>
      </w:r>
    </w:p>
    <w:p w:rsidR="00E14BA8" w:rsidRPr="00A82BB4" w:rsidRDefault="00E14BA8" w:rsidP="000F4ECC">
      <w:pPr>
        <w:spacing w:before="120" w:after="120"/>
        <w:jc w:val="both"/>
        <w:rPr>
          <w:rFonts w:ascii="Times New Roman" w:hAnsi="Times New Roman"/>
          <w:b/>
          <w:sz w:val="24"/>
          <w:szCs w:val="24"/>
        </w:rPr>
      </w:pPr>
      <w:r w:rsidRPr="00A82BB4">
        <w:rPr>
          <w:rFonts w:ascii="Times New Roman" w:hAnsi="Times New Roman"/>
          <w:b/>
          <w:sz w:val="24"/>
          <w:szCs w:val="24"/>
        </w:rPr>
        <w:t xml:space="preserve">Denetim Prosedürleri </w:t>
      </w:r>
    </w:p>
    <w:p w:rsidR="00E14BA8" w:rsidRPr="00A82BB4" w:rsidRDefault="00E14BA8" w:rsidP="000F4ECC">
      <w:pPr>
        <w:spacing w:before="120" w:after="120"/>
        <w:jc w:val="both"/>
        <w:rPr>
          <w:rFonts w:ascii="Times New Roman" w:hAnsi="Times New Roman"/>
          <w:i/>
          <w:sz w:val="24"/>
          <w:szCs w:val="24"/>
        </w:rPr>
      </w:pPr>
      <w:r w:rsidRPr="00A82BB4">
        <w:rPr>
          <w:rFonts w:ascii="Times New Roman" w:hAnsi="Times New Roman"/>
          <w:i/>
          <w:sz w:val="24"/>
          <w:szCs w:val="24"/>
        </w:rPr>
        <w:t>Açılış Bakiyeleri</w:t>
      </w:r>
    </w:p>
    <w:p w:rsidR="00E14BA8" w:rsidRPr="006F6CA5" w:rsidRDefault="00E14BA8" w:rsidP="000F4ECC">
      <w:pPr>
        <w:pStyle w:val="ListeParagraf"/>
        <w:numPr>
          <w:ilvl w:val="0"/>
          <w:numId w:val="12"/>
        </w:numPr>
        <w:spacing w:before="120" w:after="120"/>
        <w:ind w:hanging="720"/>
        <w:contextualSpacing w:val="0"/>
        <w:jc w:val="both"/>
        <w:rPr>
          <w:rFonts w:ascii="Times New Roman" w:hAnsi="Times New Roman"/>
          <w:sz w:val="24"/>
          <w:szCs w:val="24"/>
        </w:rPr>
      </w:pPr>
      <w:r w:rsidRPr="006F6CA5">
        <w:rPr>
          <w:rFonts w:ascii="Times New Roman" w:hAnsi="Times New Roman"/>
          <w:sz w:val="24"/>
          <w:szCs w:val="24"/>
        </w:rPr>
        <w:t>Denetçi, açılış bakiyeler</w:t>
      </w:r>
      <w:r>
        <w:rPr>
          <w:rFonts w:ascii="Times New Roman" w:hAnsi="Times New Roman"/>
          <w:sz w:val="24"/>
          <w:szCs w:val="24"/>
        </w:rPr>
        <w:t>iyle</w:t>
      </w:r>
      <w:r w:rsidRPr="006F6CA5">
        <w:rPr>
          <w:rFonts w:ascii="Times New Roman" w:hAnsi="Times New Roman"/>
          <w:sz w:val="24"/>
          <w:szCs w:val="24"/>
        </w:rPr>
        <w:t xml:space="preserve"> </w:t>
      </w:r>
      <w:r>
        <w:rPr>
          <w:rFonts w:ascii="Times New Roman" w:hAnsi="Times New Roman"/>
          <w:sz w:val="24"/>
          <w:szCs w:val="24"/>
        </w:rPr>
        <w:t>ilgili</w:t>
      </w:r>
      <w:r w:rsidRPr="006F6CA5">
        <w:rPr>
          <w:rFonts w:ascii="Times New Roman" w:hAnsi="Times New Roman"/>
          <w:sz w:val="24"/>
          <w:szCs w:val="24"/>
        </w:rPr>
        <w:t xml:space="preserve"> bilgi almak amacıyla, -varsa- açıklamalar dâhil olmak üzere en son finansal tabloları ve bu tablolara ilişkin önceki denetçinin raporunu okur.</w:t>
      </w:r>
    </w:p>
    <w:p w:rsidR="00E14BA8" w:rsidRPr="006F6CA5" w:rsidRDefault="00E14BA8" w:rsidP="000F4ECC">
      <w:pPr>
        <w:pStyle w:val="ListeParagraf"/>
        <w:numPr>
          <w:ilvl w:val="0"/>
          <w:numId w:val="12"/>
        </w:numPr>
        <w:spacing w:before="120" w:after="120"/>
        <w:ind w:hanging="720"/>
        <w:contextualSpacing w:val="0"/>
        <w:jc w:val="both"/>
        <w:rPr>
          <w:rFonts w:ascii="Times New Roman" w:hAnsi="Times New Roman"/>
          <w:sz w:val="24"/>
          <w:szCs w:val="24"/>
        </w:rPr>
      </w:pPr>
      <w:r w:rsidRPr="00111CB4">
        <w:rPr>
          <w:rFonts w:ascii="Times New Roman" w:hAnsi="Times New Roman"/>
          <w:sz w:val="24"/>
          <w:szCs w:val="24"/>
        </w:rPr>
        <w:t xml:space="preserve">Denetçi, açılış bakiyelerinin cari dönem finansal </w:t>
      </w:r>
      <w:r w:rsidRPr="00E75013">
        <w:rPr>
          <w:rFonts w:ascii="Times New Roman" w:hAnsi="Times New Roman"/>
          <w:sz w:val="24"/>
          <w:szCs w:val="24"/>
        </w:rPr>
        <w:t xml:space="preserve">tablolarını </w:t>
      </w:r>
      <w:r w:rsidRPr="0021192A">
        <w:rPr>
          <w:rFonts w:ascii="Times New Roman" w:hAnsi="Times New Roman"/>
          <w:sz w:val="24"/>
          <w:szCs w:val="24"/>
        </w:rPr>
        <w:t>önemli derecede</w:t>
      </w:r>
      <w:r w:rsidRPr="00E75013">
        <w:rPr>
          <w:rFonts w:ascii="Times New Roman" w:hAnsi="Times New Roman"/>
          <w:sz w:val="24"/>
          <w:szCs w:val="24"/>
        </w:rPr>
        <w:t xml:space="preserve"> etkileyen yanlışlıklar</w:t>
      </w:r>
      <w:r w:rsidRPr="001C1918">
        <w:rPr>
          <w:rFonts w:ascii="Times New Roman" w:hAnsi="Times New Roman"/>
          <w:sz w:val="24"/>
          <w:szCs w:val="24"/>
        </w:rPr>
        <w:t xml:space="preserve"> içerip içermediği hakkında yeterli ve uygun denetim kanıtını</w:t>
      </w:r>
      <w:r w:rsidRPr="00111CB4">
        <w:rPr>
          <w:rFonts w:ascii="Times New Roman" w:hAnsi="Times New Roman"/>
          <w:sz w:val="24"/>
          <w:szCs w:val="24"/>
        </w:rPr>
        <w:t xml:space="preserve"> (Bakınız: A1- A2 paragrafları):</w:t>
      </w:r>
    </w:p>
    <w:p w:rsidR="00E14BA8" w:rsidRPr="006F6CA5" w:rsidRDefault="00E14BA8" w:rsidP="000038FD">
      <w:pPr>
        <w:pStyle w:val="ListeParagraf"/>
        <w:numPr>
          <w:ilvl w:val="1"/>
          <w:numId w:val="21"/>
        </w:numPr>
        <w:spacing w:before="120" w:after="120"/>
        <w:ind w:left="1418" w:hanging="709"/>
        <w:contextualSpacing w:val="0"/>
        <w:jc w:val="both"/>
        <w:rPr>
          <w:rFonts w:ascii="Times New Roman" w:hAnsi="Times New Roman"/>
          <w:noProof/>
          <w:sz w:val="24"/>
          <w:szCs w:val="24"/>
        </w:rPr>
      </w:pPr>
      <w:r w:rsidRPr="006F6CA5">
        <w:rPr>
          <w:rFonts w:ascii="Times New Roman" w:hAnsi="Times New Roman"/>
          <w:sz w:val="24"/>
          <w:szCs w:val="24"/>
        </w:rPr>
        <w:t xml:space="preserve">Önceki </w:t>
      </w:r>
      <w:r w:rsidRPr="008070AD">
        <w:rPr>
          <w:rFonts w:ascii="Times New Roman" w:hAnsi="Times New Roman"/>
          <w:sz w:val="24"/>
          <w:szCs w:val="24"/>
        </w:rPr>
        <w:t xml:space="preserve">döneme ait kapanış bakiyelerinin, cari döneme doğru bir şekilde </w:t>
      </w:r>
      <w:r w:rsidRPr="0021192A">
        <w:rPr>
          <w:rFonts w:ascii="Times New Roman" w:hAnsi="Times New Roman"/>
          <w:sz w:val="24"/>
          <w:szCs w:val="24"/>
        </w:rPr>
        <w:t>aktarılıp aktarılmadığı</w:t>
      </w:r>
      <w:r>
        <w:rPr>
          <w:rFonts w:ascii="Times New Roman" w:hAnsi="Times New Roman"/>
          <w:sz w:val="24"/>
          <w:szCs w:val="24"/>
        </w:rPr>
        <w:t>na</w:t>
      </w:r>
      <w:r w:rsidRPr="008070AD">
        <w:rPr>
          <w:rFonts w:ascii="Times New Roman" w:hAnsi="Times New Roman"/>
          <w:sz w:val="24"/>
          <w:szCs w:val="24"/>
        </w:rPr>
        <w:t xml:space="preserve"> veya</w:t>
      </w:r>
      <w:r w:rsidRPr="006F6CA5">
        <w:rPr>
          <w:rFonts w:ascii="Times New Roman" w:hAnsi="Times New Roman"/>
          <w:sz w:val="24"/>
          <w:szCs w:val="24"/>
        </w:rPr>
        <w:t xml:space="preserve"> </w:t>
      </w:r>
      <w:r w:rsidRPr="00F571E2">
        <w:rPr>
          <w:rFonts w:ascii="Times New Roman" w:hAnsi="Times New Roman"/>
          <w:sz w:val="24"/>
          <w:szCs w:val="24"/>
        </w:rPr>
        <w:t>-</w:t>
      </w:r>
      <w:r>
        <w:rPr>
          <w:rFonts w:ascii="Times New Roman" w:hAnsi="Times New Roman"/>
          <w:sz w:val="24"/>
          <w:szCs w:val="24"/>
        </w:rPr>
        <w:t>gerekli</w:t>
      </w:r>
      <w:r w:rsidRPr="00977872">
        <w:rPr>
          <w:rFonts w:ascii="Times New Roman" w:hAnsi="Times New Roman"/>
          <w:sz w:val="24"/>
          <w:szCs w:val="24"/>
        </w:rPr>
        <w:t xml:space="preserve"> h</w:t>
      </w:r>
      <w:r>
        <w:rPr>
          <w:rFonts w:ascii="Times New Roman" w:hAnsi="Times New Roman"/>
          <w:sz w:val="24"/>
          <w:szCs w:val="24"/>
        </w:rPr>
        <w:t>â</w:t>
      </w:r>
      <w:r w:rsidRPr="00977872">
        <w:rPr>
          <w:rFonts w:ascii="Times New Roman" w:hAnsi="Times New Roman"/>
          <w:sz w:val="24"/>
          <w:szCs w:val="24"/>
        </w:rPr>
        <w:t>llerde-</w:t>
      </w:r>
      <w:r w:rsidRPr="006F6CA5">
        <w:rPr>
          <w:rFonts w:ascii="Times New Roman" w:hAnsi="Times New Roman"/>
          <w:sz w:val="24"/>
          <w:szCs w:val="24"/>
        </w:rPr>
        <w:t xml:space="preserve"> </w:t>
      </w:r>
      <w:r>
        <w:rPr>
          <w:rFonts w:ascii="Times New Roman" w:hAnsi="Times New Roman"/>
          <w:sz w:val="24"/>
          <w:szCs w:val="24"/>
        </w:rPr>
        <w:t>farklı düzenlenip düzenlenmediğine karar verilmesi</w:t>
      </w:r>
      <w:r w:rsidRPr="006F6CA5">
        <w:rPr>
          <w:rFonts w:ascii="Times New Roman" w:hAnsi="Times New Roman"/>
          <w:sz w:val="24"/>
          <w:szCs w:val="24"/>
        </w:rPr>
        <w:t>,</w:t>
      </w:r>
    </w:p>
    <w:p w:rsidR="00E14BA8" w:rsidRPr="006F6CA5" w:rsidRDefault="00E14BA8" w:rsidP="000038FD">
      <w:pPr>
        <w:pStyle w:val="ListeParagraf"/>
        <w:numPr>
          <w:ilvl w:val="1"/>
          <w:numId w:val="21"/>
        </w:numPr>
        <w:spacing w:before="120" w:after="120"/>
        <w:ind w:left="1418" w:hanging="709"/>
        <w:contextualSpacing w:val="0"/>
        <w:jc w:val="both"/>
        <w:rPr>
          <w:rFonts w:ascii="Times New Roman" w:hAnsi="Times New Roman"/>
          <w:noProof/>
          <w:sz w:val="24"/>
          <w:szCs w:val="24"/>
        </w:rPr>
      </w:pPr>
      <w:r w:rsidRPr="006F6CA5">
        <w:rPr>
          <w:rFonts w:ascii="Times New Roman" w:hAnsi="Times New Roman"/>
          <w:noProof/>
          <w:sz w:val="24"/>
          <w:szCs w:val="24"/>
        </w:rPr>
        <w:t xml:space="preserve">Açılış </w:t>
      </w:r>
      <w:r w:rsidRPr="008070AD">
        <w:rPr>
          <w:rFonts w:ascii="Times New Roman" w:hAnsi="Times New Roman"/>
          <w:noProof/>
          <w:sz w:val="24"/>
          <w:szCs w:val="24"/>
        </w:rPr>
        <w:t xml:space="preserve">bakiyelerinin </w:t>
      </w:r>
      <w:r w:rsidRPr="0021192A">
        <w:rPr>
          <w:rFonts w:ascii="Times New Roman" w:hAnsi="Times New Roman"/>
          <w:noProof/>
          <w:sz w:val="24"/>
          <w:szCs w:val="24"/>
        </w:rPr>
        <w:t>uygun muhasebe politikalarıyla ilgili uygulamaları</w:t>
      </w:r>
      <w:r w:rsidRPr="008070AD">
        <w:rPr>
          <w:rFonts w:ascii="Times New Roman" w:hAnsi="Times New Roman"/>
          <w:noProof/>
          <w:sz w:val="24"/>
          <w:szCs w:val="24"/>
        </w:rPr>
        <w:t xml:space="preserve"> yansıtıp</w:t>
      </w:r>
      <w:r w:rsidRPr="006F6CA5">
        <w:rPr>
          <w:rFonts w:ascii="Times New Roman" w:hAnsi="Times New Roman"/>
          <w:noProof/>
          <w:sz w:val="24"/>
          <w:szCs w:val="24"/>
        </w:rPr>
        <w:t xml:space="preserve"> yansıtmadığın</w:t>
      </w:r>
      <w:r>
        <w:rPr>
          <w:rFonts w:ascii="Times New Roman" w:hAnsi="Times New Roman"/>
          <w:noProof/>
          <w:sz w:val="24"/>
          <w:szCs w:val="24"/>
        </w:rPr>
        <w:t>a</w:t>
      </w:r>
      <w:r w:rsidRPr="006F6CA5">
        <w:rPr>
          <w:rFonts w:ascii="Times New Roman" w:hAnsi="Times New Roman"/>
          <w:noProof/>
          <w:sz w:val="24"/>
          <w:szCs w:val="24"/>
        </w:rPr>
        <w:t xml:space="preserve"> </w:t>
      </w:r>
      <w:r>
        <w:rPr>
          <w:rFonts w:ascii="Times New Roman" w:hAnsi="Times New Roman"/>
          <w:noProof/>
          <w:sz w:val="24"/>
          <w:szCs w:val="24"/>
        </w:rPr>
        <w:t>karar verilmesi</w:t>
      </w:r>
      <w:r w:rsidRPr="006F6CA5">
        <w:rPr>
          <w:rFonts w:ascii="Times New Roman" w:hAnsi="Times New Roman"/>
          <w:noProof/>
          <w:sz w:val="24"/>
          <w:szCs w:val="24"/>
        </w:rPr>
        <w:t>,</w:t>
      </w:r>
    </w:p>
    <w:p w:rsidR="00E14BA8" w:rsidRPr="006F6CA5" w:rsidRDefault="00E14BA8" w:rsidP="000038FD">
      <w:pPr>
        <w:pStyle w:val="ListeParagraf"/>
        <w:numPr>
          <w:ilvl w:val="1"/>
          <w:numId w:val="21"/>
        </w:numPr>
        <w:spacing w:before="120" w:after="120"/>
        <w:ind w:left="1418" w:hanging="709"/>
        <w:contextualSpacing w:val="0"/>
        <w:jc w:val="both"/>
        <w:rPr>
          <w:rFonts w:ascii="Times New Roman" w:hAnsi="Times New Roman"/>
          <w:noProof/>
          <w:sz w:val="24"/>
          <w:szCs w:val="24"/>
        </w:rPr>
      </w:pPr>
      <w:r w:rsidRPr="006F6CA5">
        <w:rPr>
          <w:rFonts w:ascii="Times New Roman" w:hAnsi="Times New Roman"/>
          <w:noProof/>
          <w:sz w:val="24"/>
          <w:szCs w:val="24"/>
        </w:rPr>
        <w:t xml:space="preserve">Aşağıdakilerden bir veya daha fazlasının uygulanması (Bakınız: A3-A7 </w:t>
      </w:r>
      <w:r>
        <w:rPr>
          <w:rFonts w:ascii="Times New Roman" w:hAnsi="Times New Roman"/>
          <w:noProof/>
          <w:sz w:val="24"/>
          <w:szCs w:val="24"/>
        </w:rPr>
        <w:t>p</w:t>
      </w:r>
      <w:r w:rsidRPr="006F6CA5">
        <w:rPr>
          <w:rFonts w:ascii="Times New Roman" w:hAnsi="Times New Roman"/>
          <w:noProof/>
          <w:sz w:val="24"/>
          <w:szCs w:val="24"/>
        </w:rPr>
        <w:t xml:space="preserve">aragrafları): </w:t>
      </w:r>
    </w:p>
    <w:p w:rsidR="00E14BA8" w:rsidRPr="0017690B" w:rsidRDefault="00E14BA8" w:rsidP="000038FD">
      <w:pPr>
        <w:pStyle w:val="ListeParagraf"/>
        <w:numPr>
          <w:ilvl w:val="0"/>
          <w:numId w:val="22"/>
        </w:numPr>
        <w:spacing w:before="120" w:after="120"/>
        <w:ind w:left="2127" w:hanging="709"/>
        <w:contextualSpacing w:val="0"/>
        <w:jc w:val="both"/>
        <w:rPr>
          <w:rFonts w:ascii="Times New Roman" w:hAnsi="Times New Roman"/>
          <w:sz w:val="24"/>
          <w:szCs w:val="24"/>
        </w:rPr>
      </w:pPr>
      <w:r w:rsidRPr="006F6CA5">
        <w:rPr>
          <w:rFonts w:ascii="Times New Roman" w:hAnsi="Times New Roman"/>
          <w:sz w:val="24"/>
          <w:szCs w:val="24"/>
        </w:rPr>
        <w:t>Önceki yıla ait finansal tabloların denetlenmiş olması durumunda, açılış bakiyelerine ilişkin kanıt elde etmek amacıyla önceki denetçinin çalışma kâğıtlarının gözden geçirilmesi,</w:t>
      </w:r>
    </w:p>
    <w:p w:rsidR="00E14BA8" w:rsidRPr="006F6CA5" w:rsidRDefault="00E14BA8" w:rsidP="000038FD">
      <w:pPr>
        <w:pStyle w:val="ListeParagraf"/>
        <w:numPr>
          <w:ilvl w:val="0"/>
          <w:numId w:val="22"/>
        </w:numPr>
        <w:spacing w:before="120" w:after="120"/>
        <w:ind w:left="2127" w:hanging="709"/>
        <w:contextualSpacing w:val="0"/>
        <w:jc w:val="both"/>
        <w:rPr>
          <w:rFonts w:ascii="Times New Roman" w:hAnsi="Times New Roman"/>
          <w:noProof/>
          <w:sz w:val="24"/>
          <w:szCs w:val="24"/>
        </w:rPr>
      </w:pPr>
      <w:r w:rsidRPr="006F6CA5">
        <w:rPr>
          <w:rFonts w:ascii="Times New Roman" w:hAnsi="Times New Roman"/>
          <w:sz w:val="24"/>
          <w:szCs w:val="24"/>
        </w:rPr>
        <w:t>Cari dönemde uygulanan denetim prosedürlerinin açılış bakiyelerine ilişkin kanıt sağlayıp sağlamadığının değerlendirilmesi veya</w:t>
      </w:r>
    </w:p>
    <w:p w:rsidR="00E14BA8" w:rsidRPr="006F6CA5" w:rsidRDefault="00E14BA8" w:rsidP="000038FD">
      <w:pPr>
        <w:pStyle w:val="ListeParagraf"/>
        <w:numPr>
          <w:ilvl w:val="0"/>
          <w:numId w:val="22"/>
        </w:numPr>
        <w:spacing w:before="120" w:after="120"/>
        <w:ind w:left="2127" w:hanging="709"/>
        <w:contextualSpacing w:val="0"/>
        <w:jc w:val="both"/>
        <w:rPr>
          <w:rFonts w:ascii="Times New Roman" w:hAnsi="Times New Roman"/>
          <w:noProof/>
          <w:sz w:val="24"/>
          <w:szCs w:val="24"/>
        </w:rPr>
      </w:pPr>
      <w:r w:rsidRPr="006F6CA5">
        <w:rPr>
          <w:rFonts w:ascii="Times New Roman" w:hAnsi="Times New Roman"/>
          <w:noProof/>
          <w:sz w:val="24"/>
          <w:szCs w:val="24"/>
        </w:rPr>
        <w:t xml:space="preserve">Açılış bakiyelerine ilişkin kanıt elde etmek </w:t>
      </w:r>
      <w:r>
        <w:rPr>
          <w:rFonts w:ascii="Times New Roman" w:hAnsi="Times New Roman"/>
          <w:noProof/>
          <w:sz w:val="24"/>
          <w:szCs w:val="24"/>
        </w:rPr>
        <w:t>amacıyla</w:t>
      </w:r>
      <w:r w:rsidRPr="006F6CA5">
        <w:rPr>
          <w:rFonts w:ascii="Times New Roman" w:hAnsi="Times New Roman"/>
          <w:noProof/>
          <w:sz w:val="24"/>
          <w:szCs w:val="24"/>
        </w:rPr>
        <w:t xml:space="preserve"> </w:t>
      </w:r>
      <w:r>
        <w:rPr>
          <w:rFonts w:ascii="Times New Roman" w:hAnsi="Times New Roman"/>
          <w:noProof/>
          <w:sz w:val="24"/>
          <w:szCs w:val="24"/>
        </w:rPr>
        <w:t>belirli</w:t>
      </w:r>
      <w:r w:rsidRPr="006F6CA5">
        <w:rPr>
          <w:rFonts w:ascii="Times New Roman" w:hAnsi="Times New Roman"/>
          <w:noProof/>
          <w:sz w:val="24"/>
          <w:szCs w:val="24"/>
        </w:rPr>
        <w:t xml:space="preserve"> denetim prosedürlerinin uygulanması</w:t>
      </w:r>
    </w:p>
    <w:p w:rsidR="00E14BA8" w:rsidRPr="00A82BB4" w:rsidRDefault="00E14BA8" w:rsidP="00AB2827">
      <w:pPr>
        <w:spacing w:before="120" w:after="120"/>
        <w:ind w:firstLine="708"/>
        <w:jc w:val="both"/>
        <w:rPr>
          <w:rFonts w:ascii="Times New Roman" w:hAnsi="Times New Roman"/>
          <w:noProof/>
          <w:sz w:val="24"/>
          <w:szCs w:val="24"/>
        </w:rPr>
      </w:pPr>
      <w:r w:rsidRPr="00A82BB4">
        <w:rPr>
          <w:rFonts w:ascii="Times New Roman" w:hAnsi="Times New Roman"/>
          <w:noProof/>
          <w:sz w:val="24"/>
          <w:szCs w:val="24"/>
        </w:rPr>
        <w:t>suretiyle elde eder.</w:t>
      </w:r>
    </w:p>
    <w:p w:rsidR="00E14BA8" w:rsidRPr="006F6CA5" w:rsidRDefault="00E14BA8" w:rsidP="000F4ECC">
      <w:pPr>
        <w:pStyle w:val="ListeParagraf"/>
        <w:numPr>
          <w:ilvl w:val="0"/>
          <w:numId w:val="25"/>
        </w:numPr>
        <w:spacing w:before="120" w:after="120"/>
        <w:ind w:hanging="720"/>
        <w:contextualSpacing w:val="0"/>
        <w:jc w:val="both"/>
        <w:rPr>
          <w:rFonts w:ascii="Times New Roman" w:hAnsi="Times New Roman"/>
          <w:noProof/>
          <w:sz w:val="24"/>
          <w:szCs w:val="24"/>
        </w:rPr>
      </w:pPr>
      <w:r w:rsidRPr="006F6CA5">
        <w:rPr>
          <w:rFonts w:ascii="Times New Roman" w:hAnsi="Times New Roman"/>
          <w:sz w:val="24"/>
          <w:szCs w:val="24"/>
        </w:rPr>
        <w:t xml:space="preserve">Açılış bakiyelerinin cari dönem finansal </w:t>
      </w:r>
      <w:r w:rsidRPr="00E75013">
        <w:rPr>
          <w:rFonts w:ascii="Times New Roman" w:hAnsi="Times New Roman"/>
          <w:sz w:val="24"/>
          <w:szCs w:val="24"/>
        </w:rPr>
        <w:t xml:space="preserve">tablolarını </w:t>
      </w:r>
      <w:r w:rsidRPr="0021192A">
        <w:rPr>
          <w:rFonts w:ascii="Times New Roman" w:hAnsi="Times New Roman"/>
          <w:sz w:val="24"/>
          <w:szCs w:val="24"/>
        </w:rPr>
        <w:t>önemli derecede</w:t>
      </w:r>
      <w:r w:rsidRPr="00E75013">
        <w:rPr>
          <w:rFonts w:ascii="Times New Roman" w:hAnsi="Times New Roman"/>
          <w:sz w:val="24"/>
          <w:szCs w:val="24"/>
        </w:rPr>
        <w:t xml:space="preserve"> etkileyebilecek yanlışlıklar içerdiğine ilişkin denetim kanıtı elde etmesi durumunda denetçi, </w:t>
      </w:r>
      <w:r>
        <w:rPr>
          <w:rFonts w:ascii="Times New Roman" w:hAnsi="Times New Roman"/>
          <w:sz w:val="24"/>
          <w:szCs w:val="24"/>
        </w:rPr>
        <w:t xml:space="preserve">söz konusu yanlışlıkların </w:t>
      </w:r>
      <w:r w:rsidRPr="00E75013">
        <w:rPr>
          <w:rFonts w:ascii="Times New Roman" w:hAnsi="Times New Roman"/>
          <w:sz w:val="24"/>
          <w:szCs w:val="24"/>
        </w:rPr>
        <w:t xml:space="preserve">cari dönem finansal tabloları üzerindeki </w:t>
      </w:r>
      <w:r>
        <w:rPr>
          <w:rFonts w:ascii="Times New Roman" w:hAnsi="Times New Roman"/>
          <w:sz w:val="24"/>
          <w:szCs w:val="24"/>
        </w:rPr>
        <w:t>etkisini</w:t>
      </w:r>
      <w:r w:rsidRPr="00E75013">
        <w:rPr>
          <w:rFonts w:ascii="Times New Roman" w:hAnsi="Times New Roman"/>
          <w:sz w:val="24"/>
          <w:szCs w:val="24"/>
        </w:rPr>
        <w:t xml:space="preserve"> belirlemek amacıyla</w:t>
      </w:r>
      <w:r w:rsidRPr="006F6CA5">
        <w:rPr>
          <w:rFonts w:ascii="Times New Roman" w:hAnsi="Times New Roman"/>
          <w:sz w:val="24"/>
          <w:szCs w:val="24"/>
        </w:rPr>
        <w:t xml:space="preserve"> içinde bulunulan şartlar</w:t>
      </w:r>
      <w:r>
        <w:rPr>
          <w:rFonts w:ascii="Times New Roman" w:hAnsi="Times New Roman"/>
          <w:sz w:val="24"/>
          <w:szCs w:val="24"/>
        </w:rPr>
        <w:t xml:space="preserve"> altında</w:t>
      </w:r>
      <w:r w:rsidRPr="006F6CA5">
        <w:rPr>
          <w:rFonts w:ascii="Times New Roman" w:hAnsi="Times New Roman"/>
          <w:sz w:val="24"/>
          <w:szCs w:val="24"/>
        </w:rPr>
        <w:t xml:space="preserve"> uygun </w:t>
      </w:r>
      <w:r>
        <w:rPr>
          <w:rFonts w:ascii="Times New Roman" w:hAnsi="Times New Roman"/>
          <w:sz w:val="24"/>
          <w:szCs w:val="24"/>
        </w:rPr>
        <w:t xml:space="preserve">olan </w:t>
      </w:r>
      <w:r w:rsidRPr="006F6CA5">
        <w:rPr>
          <w:rFonts w:ascii="Times New Roman" w:hAnsi="Times New Roman"/>
          <w:sz w:val="24"/>
          <w:szCs w:val="24"/>
        </w:rPr>
        <w:t>il</w:t>
      </w:r>
      <w:r>
        <w:rPr>
          <w:rFonts w:ascii="Times New Roman" w:hAnsi="Times New Roman"/>
          <w:sz w:val="24"/>
          <w:szCs w:val="24"/>
        </w:rPr>
        <w:t>a</w:t>
      </w:r>
      <w:r w:rsidRPr="006F6CA5">
        <w:rPr>
          <w:rFonts w:ascii="Times New Roman" w:hAnsi="Times New Roman"/>
          <w:sz w:val="24"/>
          <w:szCs w:val="24"/>
        </w:rPr>
        <w:t>ve denetim prosedürleri</w:t>
      </w:r>
      <w:r>
        <w:rPr>
          <w:rFonts w:ascii="Times New Roman" w:hAnsi="Times New Roman"/>
          <w:sz w:val="24"/>
          <w:szCs w:val="24"/>
        </w:rPr>
        <w:t>ni</w:t>
      </w:r>
      <w:r w:rsidRPr="006F6CA5">
        <w:rPr>
          <w:rFonts w:ascii="Times New Roman" w:hAnsi="Times New Roman"/>
          <w:sz w:val="24"/>
          <w:szCs w:val="24"/>
        </w:rPr>
        <w:t xml:space="preserve"> uygular. </w:t>
      </w:r>
      <w:r>
        <w:rPr>
          <w:rFonts w:ascii="Times New Roman" w:hAnsi="Times New Roman"/>
          <w:noProof/>
          <w:sz w:val="24"/>
          <w:szCs w:val="24"/>
        </w:rPr>
        <w:t>C</w:t>
      </w:r>
      <w:r w:rsidRPr="006F6CA5">
        <w:rPr>
          <w:rFonts w:ascii="Times New Roman" w:hAnsi="Times New Roman"/>
          <w:noProof/>
          <w:sz w:val="24"/>
          <w:szCs w:val="24"/>
        </w:rPr>
        <w:t>ari dönem finansal tablolarında bu tür yanlışlıklar</w:t>
      </w:r>
      <w:r>
        <w:rPr>
          <w:rFonts w:ascii="Times New Roman" w:hAnsi="Times New Roman"/>
          <w:noProof/>
          <w:sz w:val="24"/>
          <w:szCs w:val="24"/>
        </w:rPr>
        <w:t>ın</w:t>
      </w:r>
      <w:r w:rsidRPr="006F6CA5">
        <w:rPr>
          <w:rFonts w:ascii="Times New Roman" w:hAnsi="Times New Roman"/>
          <w:noProof/>
          <w:sz w:val="24"/>
          <w:szCs w:val="24"/>
        </w:rPr>
        <w:t xml:space="preserve"> bulunduğu sonucuna varması durumunda</w:t>
      </w:r>
      <w:r>
        <w:rPr>
          <w:rFonts w:ascii="Times New Roman" w:hAnsi="Times New Roman"/>
          <w:noProof/>
          <w:sz w:val="24"/>
          <w:szCs w:val="24"/>
        </w:rPr>
        <w:t xml:space="preserve"> denetçi</w:t>
      </w:r>
      <w:r w:rsidRPr="006F6CA5">
        <w:rPr>
          <w:rFonts w:ascii="Times New Roman" w:hAnsi="Times New Roman"/>
          <w:noProof/>
          <w:sz w:val="24"/>
          <w:szCs w:val="24"/>
        </w:rPr>
        <w:t>, söz konusu yanlışlıkları BDS 450</w:t>
      </w:r>
      <w:r w:rsidRPr="00A82BB4">
        <w:rPr>
          <w:noProof/>
          <w:vertAlign w:val="superscript"/>
        </w:rPr>
        <w:footnoteReference w:id="3"/>
      </w:r>
      <w:r w:rsidRPr="006F6CA5">
        <w:rPr>
          <w:rFonts w:ascii="Times New Roman" w:hAnsi="Times New Roman"/>
          <w:noProof/>
          <w:sz w:val="24"/>
          <w:szCs w:val="24"/>
          <w:vertAlign w:val="superscript"/>
        </w:rPr>
        <w:t xml:space="preserve"> </w:t>
      </w:r>
      <w:r w:rsidRPr="006F6CA5">
        <w:rPr>
          <w:rFonts w:ascii="Times New Roman" w:hAnsi="Times New Roman"/>
          <w:noProof/>
          <w:sz w:val="24"/>
          <w:szCs w:val="24"/>
        </w:rPr>
        <w:t xml:space="preserve">uyarınca yönetimin uygun bir kademesine ve üst yönetimden sorumlu olanlara </w:t>
      </w:r>
      <w:r>
        <w:rPr>
          <w:rFonts w:ascii="Times New Roman" w:hAnsi="Times New Roman"/>
          <w:noProof/>
          <w:sz w:val="24"/>
          <w:szCs w:val="24"/>
        </w:rPr>
        <w:t>bildirir</w:t>
      </w:r>
      <w:r w:rsidRPr="006F6CA5">
        <w:rPr>
          <w:rFonts w:ascii="Times New Roman" w:hAnsi="Times New Roman"/>
          <w:noProof/>
          <w:sz w:val="24"/>
          <w:szCs w:val="24"/>
        </w:rPr>
        <w:t>.</w:t>
      </w:r>
    </w:p>
    <w:p w:rsidR="00E14BA8" w:rsidRDefault="00E14BA8" w:rsidP="000F4ECC">
      <w:pPr>
        <w:spacing w:before="120" w:after="120"/>
        <w:jc w:val="both"/>
        <w:rPr>
          <w:rFonts w:ascii="Times New Roman" w:hAnsi="Times New Roman"/>
          <w:i/>
          <w:sz w:val="24"/>
          <w:szCs w:val="24"/>
        </w:rPr>
      </w:pPr>
    </w:p>
    <w:p w:rsidR="00E14BA8" w:rsidRDefault="00E14BA8" w:rsidP="000F4ECC">
      <w:pPr>
        <w:spacing w:before="120" w:after="120"/>
        <w:jc w:val="both"/>
        <w:rPr>
          <w:rFonts w:ascii="Times New Roman" w:hAnsi="Times New Roman"/>
          <w:i/>
          <w:sz w:val="24"/>
          <w:szCs w:val="24"/>
        </w:rPr>
      </w:pPr>
    </w:p>
    <w:p w:rsidR="00E14BA8" w:rsidRPr="00A82BB4" w:rsidRDefault="00E14BA8" w:rsidP="000F4ECC">
      <w:pPr>
        <w:spacing w:before="120" w:after="120"/>
        <w:jc w:val="both"/>
        <w:rPr>
          <w:rFonts w:ascii="Times New Roman" w:hAnsi="Times New Roman"/>
          <w:i/>
          <w:sz w:val="24"/>
          <w:szCs w:val="24"/>
        </w:rPr>
      </w:pPr>
      <w:r w:rsidRPr="00A82BB4">
        <w:rPr>
          <w:rFonts w:ascii="Times New Roman" w:hAnsi="Times New Roman"/>
          <w:i/>
          <w:sz w:val="24"/>
          <w:szCs w:val="24"/>
        </w:rPr>
        <w:lastRenderedPageBreak/>
        <w:t>Muhasebe Politikalarının Tutarlılığı</w:t>
      </w:r>
    </w:p>
    <w:p w:rsidR="00E14BA8" w:rsidRPr="006F6CA5" w:rsidRDefault="00E14BA8" w:rsidP="000F4ECC">
      <w:pPr>
        <w:pStyle w:val="ListeParagraf"/>
        <w:numPr>
          <w:ilvl w:val="0"/>
          <w:numId w:val="25"/>
        </w:numPr>
        <w:spacing w:before="120" w:after="120"/>
        <w:ind w:hanging="720"/>
        <w:contextualSpacing w:val="0"/>
        <w:jc w:val="both"/>
        <w:rPr>
          <w:rFonts w:ascii="Times New Roman" w:hAnsi="Times New Roman"/>
          <w:noProof/>
          <w:sz w:val="24"/>
          <w:szCs w:val="24"/>
        </w:rPr>
      </w:pPr>
      <w:r w:rsidRPr="006F6CA5">
        <w:rPr>
          <w:rFonts w:ascii="Times New Roman" w:hAnsi="Times New Roman"/>
          <w:sz w:val="24"/>
          <w:szCs w:val="24"/>
        </w:rPr>
        <w:t>Denetçi, açılış bakiyelerin</w:t>
      </w:r>
      <w:r>
        <w:rPr>
          <w:rFonts w:ascii="Times New Roman" w:hAnsi="Times New Roman"/>
          <w:sz w:val="24"/>
          <w:szCs w:val="24"/>
        </w:rPr>
        <w:t>de</w:t>
      </w:r>
      <w:r w:rsidRPr="006F6CA5">
        <w:rPr>
          <w:rFonts w:ascii="Times New Roman" w:hAnsi="Times New Roman"/>
          <w:sz w:val="24"/>
          <w:szCs w:val="24"/>
        </w:rPr>
        <w:t xml:space="preserve"> yansıtılan muhasebe politikalarının cari dönem finansal tablolarında tutarlı bir şekilde uygulanıp uygulanmadığı veya bu politikalarda meydana gelen değişikliklerin geçerli finansal raporlama çerçevesine uygun bir </w:t>
      </w:r>
      <w:r>
        <w:rPr>
          <w:rFonts w:ascii="Times New Roman" w:hAnsi="Times New Roman"/>
          <w:sz w:val="24"/>
          <w:szCs w:val="24"/>
        </w:rPr>
        <w:t>biçimde</w:t>
      </w:r>
      <w:r w:rsidRPr="006F6CA5">
        <w:rPr>
          <w:rFonts w:ascii="Times New Roman" w:hAnsi="Times New Roman"/>
          <w:sz w:val="24"/>
          <w:szCs w:val="24"/>
        </w:rPr>
        <w:t xml:space="preserve"> </w:t>
      </w:r>
      <w:r>
        <w:rPr>
          <w:rFonts w:ascii="Times New Roman" w:hAnsi="Times New Roman"/>
          <w:sz w:val="24"/>
          <w:szCs w:val="24"/>
        </w:rPr>
        <w:t>uygulanıp uygulanmadığı,</w:t>
      </w:r>
      <w:r w:rsidRPr="006F6CA5">
        <w:rPr>
          <w:rFonts w:ascii="Times New Roman" w:hAnsi="Times New Roman"/>
          <w:sz w:val="24"/>
          <w:szCs w:val="24"/>
        </w:rPr>
        <w:t xml:space="preserve"> </w:t>
      </w:r>
      <w:r w:rsidRPr="00AB2827">
        <w:rPr>
          <w:rFonts w:ascii="Times New Roman" w:hAnsi="Times New Roman"/>
          <w:sz w:val="24"/>
          <w:szCs w:val="24"/>
        </w:rPr>
        <w:t>yeterli şekilde</w:t>
      </w:r>
      <w:r w:rsidRPr="006F6CA5">
        <w:rPr>
          <w:rFonts w:ascii="Times New Roman" w:hAnsi="Times New Roman"/>
          <w:sz w:val="24"/>
          <w:szCs w:val="24"/>
        </w:rPr>
        <w:t xml:space="preserve"> sunulup sunulmadığı ve açıklanıp açıklanmadığı konusunda yeterli ve uygun denetim kanıt</w:t>
      </w:r>
      <w:r>
        <w:rPr>
          <w:rFonts w:ascii="Times New Roman" w:hAnsi="Times New Roman"/>
          <w:sz w:val="24"/>
          <w:szCs w:val="24"/>
        </w:rPr>
        <w:t>ı</w:t>
      </w:r>
      <w:r w:rsidRPr="006F6CA5">
        <w:rPr>
          <w:rFonts w:ascii="Times New Roman" w:hAnsi="Times New Roman"/>
          <w:sz w:val="24"/>
          <w:szCs w:val="24"/>
        </w:rPr>
        <w:t xml:space="preserve"> elde eder.</w:t>
      </w:r>
    </w:p>
    <w:p w:rsidR="00E14BA8" w:rsidRPr="00A82BB4" w:rsidRDefault="00E14BA8" w:rsidP="000F4ECC">
      <w:pPr>
        <w:spacing w:before="120" w:after="120"/>
        <w:jc w:val="both"/>
        <w:rPr>
          <w:rFonts w:ascii="Times New Roman" w:hAnsi="Times New Roman"/>
          <w:i/>
          <w:sz w:val="24"/>
          <w:szCs w:val="24"/>
        </w:rPr>
      </w:pPr>
      <w:r w:rsidRPr="00A82BB4">
        <w:rPr>
          <w:rFonts w:ascii="Times New Roman" w:hAnsi="Times New Roman"/>
          <w:i/>
          <w:sz w:val="24"/>
          <w:szCs w:val="24"/>
        </w:rPr>
        <w:t>Önceki Denetçinin Raporunda Yer Alan İlgili Bilgiler</w:t>
      </w:r>
    </w:p>
    <w:p w:rsidR="00E14BA8" w:rsidRPr="006F6CA5" w:rsidRDefault="00E14BA8" w:rsidP="000F4ECC">
      <w:pPr>
        <w:pStyle w:val="ListeParagraf"/>
        <w:numPr>
          <w:ilvl w:val="0"/>
          <w:numId w:val="25"/>
        </w:numPr>
        <w:spacing w:before="120" w:after="120"/>
        <w:ind w:hanging="720"/>
        <w:contextualSpacing w:val="0"/>
        <w:jc w:val="both"/>
        <w:rPr>
          <w:rFonts w:ascii="Times New Roman" w:hAnsi="Times New Roman"/>
          <w:noProof/>
          <w:sz w:val="24"/>
          <w:szCs w:val="24"/>
        </w:rPr>
      </w:pPr>
      <w:r w:rsidRPr="006F6CA5">
        <w:rPr>
          <w:rFonts w:ascii="Times New Roman" w:hAnsi="Times New Roman"/>
          <w:sz w:val="24"/>
          <w:szCs w:val="24"/>
        </w:rPr>
        <w:t>Önc</w:t>
      </w:r>
      <w:r>
        <w:rPr>
          <w:rFonts w:ascii="Times New Roman" w:hAnsi="Times New Roman"/>
          <w:sz w:val="24"/>
          <w:szCs w:val="24"/>
        </w:rPr>
        <w:t>eki döneme ait finansal tablolarının,</w:t>
      </w:r>
      <w:r w:rsidRPr="006F6CA5">
        <w:rPr>
          <w:rFonts w:ascii="Times New Roman" w:hAnsi="Times New Roman"/>
          <w:sz w:val="24"/>
          <w:szCs w:val="24"/>
        </w:rPr>
        <w:t xml:space="preserve"> önceki denetçi tarafından denetlenmesi ve denetim görüşünün olumlu görüş dışında bir görüş olması durumunda</w:t>
      </w:r>
      <w:r>
        <w:rPr>
          <w:rFonts w:ascii="Times New Roman" w:hAnsi="Times New Roman"/>
          <w:sz w:val="24"/>
          <w:szCs w:val="24"/>
        </w:rPr>
        <w:t>,</w:t>
      </w:r>
      <w:r w:rsidRPr="006F6CA5">
        <w:rPr>
          <w:rFonts w:ascii="Times New Roman" w:hAnsi="Times New Roman"/>
          <w:sz w:val="24"/>
          <w:szCs w:val="24"/>
        </w:rPr>
        <w:t xml:space="preserve"> denetçi bu görüşe sebep olan </w:t>
      </w:r>
      <w:r>
        <w:rPr>
          <w:rFonts w:ascii="Times New Roman" w:hAnsi="Times New Roman"/>
          <w:sz w:val="24"/>
          <w:szCs w:val="24"/>
        </w:rPr>
        <w:t>hususun</w:t>
      </w:r>
      <w:r w:rsidRPr="006F6CA5">
        <w:rPr>
          <w:rFonts w:ascii="Times New Roman" w:hAnsi="Times New Roman"/>
          <w:sz w:val="24"/>
          <w:szCs w:val="24"/>
        </w:rPr>
        <w:t xml:space="preserve"> </w:t>
      </w:r>
      <w:r w:rsidRPr="00952CE9">
        <w:rPr>
          <w:rFonts w:ascii="Times New Roman" w:hAnsi="Times New Roman"/>
          <w:sz w:val="24"/>
          <w:szCs w:val="24"/>
        </w:rPr>
        <w:t>etkisini</w:t>
      </w:r>
      <w:r>
        <w:rPr>
          <w:rFonts w:ascii="Times New Roman" w:hAnsi="Times New Roman"/>
          <w:sz w:val="24"/>
          <w:szCs w:val="24"/>
        </w:rPr>
        <w:t>,</w:t>
      </w:r>
      <w:r w:rsidRPr="00952CE9">
        <w:rPr>
          <w:rFonts w:ascii="Times New Roman" w:hAnsi="Times New Roman"/>
          <w:sz w:val="24"/>
          <w:szCs w:val="24"/>
        </w:rPr>
        <w:t xml:space="preserve"> </w:t>
      </w:r>
      <w:r w:rsidRPr="00952CE9">
        <w:rPr>
          <w:rFonts w:ascii="Times New Roman" w:hAnsi="Times New Roman"/>
          <w:noProof/>
          <w:sz w:val="24"/>
          <w:szCs w:val="24"/>
        </w:rPr>
        <w:t>BDS 315</w:t>
      </w:r>
      <w:r w:rsidRPr="00952CE9">
        <w:rPr>
          <w:rFonts w:ascii="Times New Roman" w:hAnsi="Times New Roman"/>
          <w:noProof/>
          <w:sz w:val="24"/>
          <w:szCs w:val="24"/>
          <w:vertAlign w:val="superscript"/>
        </w:rPr>
        <w:footnoteReference w:id="4"/>
      </w:r>
      <w:r w:rsidRPr="00952CE9">
        <w:rPr>
          <w:rFonts w:ascii="Times New Roman" w:hAnsi="Times New Roman"/>
          <w:noProof/>
          <w:sz w:val="24"/>
          <w:szCs w:val="24"/>
        </w:rPr>
        <w:t xml:space="preserve">’e </w:t>
      </w:r>
      <w:r w:rsidRPr="00952CE9">
        <w:rPr>
          <w:rFonts w:ascii="Times New Roman" w:hAnsi="Times New Roman"/>
          <w:noProof/>
          <w:sz w:val="24"/>
          <w:szCs w:val="24"/>
          <w:vertAlign w:val="superscript"/>
        </w:rPr>
        <w:t xml:space="preserve"> </w:t>
      </w:r>
      <w:r w:rsidRPr="00952CE9">
        <w:rPr>
          <w:rFonts w:ascii="Times New Roman" w:hAnsi="Times New Roman"/>
          <w:noProof/>
          <w:sz w:val="24"/>
          <w:szCs w:val="24"/>
        </w:rPr>
        <w:t xml:space="preserve">uygun olarak </w:t>
      </w:r>
      <w:r w:rsidRPr="006F6CA5">
        <w:rPr>
          <w:rFonts w:ascii="Times New Roman" w:hAnsi="Times New Roman"/>
          <w:sz w:val="24"/>
          <w:szCs w:val="24"/>
        </w:rPr>
        <w:t>cari dönem finansal tablolarındaki “önemli yanlışlık”</w:t>
      </w:r>
      <w:r>
        <w:rPr>
          <w:rFonts w:ascii="Times New Roman" w:hAnsi="Times New Roman"/>
          <w:sz w:val="24"/>
          <w:szCs w:val="24"/>
        </w:rPr>
        <w:t xml:space="preserve"> risklerinin değerlendirilmesi sırasında</w:t>
      </w:r>
      <w:r w:rsidRPr="00952CE9" w:rsidDel="00952CE9">
        <w:rPr>
          <w:rFonts w:ascii="Times New Roman" w:hAnsi="Times New Roman"/>
          <w:noProof/>
          <w:sz w:val="24"/>
          <w:szCs w:val="24"/>
        </w:rPr>
        <w:t xml:space="preserve"> </w:t>
      </w:r>
      <w:r w:rsidRPr="00952CE9">
        <w:rPr>
          <w:rFonts w:ascii="Times New Roman" w:hAnsi="Times New Roman"/>
          <w:noProof/>
          <w:sz w:val="24"/>
          <w:szCs w:val="24"/>
        </w:rPr>
        <w:t>mütalaa eder.</w:t>
      </w:r>
    </w:p>
    <w:p w:rsidR="00E14BA8" w:rsidRPr="00A82BB4" w:rsidRDefault="00E14BA8" w:rsidP="000F4ECC">
      <w:pPr>
        <w:spacing w:before="120" w:after="120"/>
        <w:jc w:val="both"/>
        <w:rPr>
          <w:rFonts w:ascii="Times New Roman" w:hAnsi="Times New Roman"/>
          <w:b/>
          <w:sz w:val="24"/>
          <w:szCs w:val="24"/>
        </w:rPr>
      </w:pPr>
      <w:r w:rsidRPr="00A82BB4">
        <w:rPr>
          <w:rFonts w:ascii="Times New Roman" w:hAnsi="Times New Roman"/>
          <w:b/>
          <w:sz w:val="24"/>
          <w:szCs w:val="24"/>
        </w:rPr>
        <w:t>Denetim Sonuçları ve Raporlama</w:t>
      </w:r>
    </w:p>
    <w:p w:rsidR="00E14BA8" w:rsidRPr="00A82BB4" w:rsidRDefault="00E14BA8" w:rsidP="000F4ECC">
      <w:pPr>
        <w:spacing w:before="120" w:after="120"/>
        <w:jc w:val="both"/>
        <w:rPr>
          <w:rFonts w:ascii="Times New Roman" w:hAnsi="Times New Roman"/>
          <w:i/>
          <w:sz w:val="24"/>
          <w:szCs w:val="24"/>
        </w:rPr>
      </w:pPr>
      <w:r w:rsidRPr="00A82BB4">
        <w:rPr>
          <w:rFonts w:ascii="Times New Roman" w:hAnsi="Times New Roman"/>
          <w:i/>
          <w:sz w:val="24"/>
          <w:szCs w:val="24"/>
        </w:rPr>
        <w:t>Açılış Bakiyeleri</w:t>
      </w:r>
    </w:p>
    <w:p w:rsidR="00E14BA8" w:rsidRPr="006F6CA5" w:rsidRDefault="00E14BA8" w:rsidP="000F4ECC">
      <w:pPr>
        <w:pStyle w:val="ListeParagraf"/>
        <w:numPr>
          <w:ilvl w:val="0"/>
          <w:numId w:val="25"/>
        </w:numPr>
        <w:spacing w:before="120" w:after="120"/>
        <w:ind w:hanging="720"/>
        <w:contextualSpacing w:val="0"/>
        <w:jc w:val="both"/>
        <w:rPr>
          <w:rFonts w:ascii="Times New Roman" w:hAnsi="Times New Roman"/>
          <w:sz w:val="24"/>
          <w:szCs w:val="24"/>
        </w:rPr>
      </w:pPr>
      <w:r w:rsidRPr="006F6CA5">
        <w:rPr>
          <w:rFonts w:ascii="Times New Roman" w:hAnsi="Times New Roman"/>
          <w:sz w:val="24"/>
          <w:szCs w:val="24"/>
        </w:rPr>
        <w:t>Denetçi, açılış bakiyelerine ilişkin yeterli ve uygun denetim kanıtı elde edememesi durumunda, BDS 705</w:t>
      </w:r>
      <w:r w:rsidRPr="00AB2827">
        <w:rPr>
          <w:rFonts w:ascii="Times New Roman" w:hAnsi="Times New Roman"/>
          <w:sz w:val="24"/>
          <w:szCs w:val="24"/>
          <w:vertAlign w:val="superscript"/>
        </w:rPr>
        <w:footnoteReference w:id="5"/>
      </w:r>
      <w:r w:rsidRPr="00AB2827">
        <w:rPr>
          <w:rFonts w:ascii="Times New Roman" w:hAnsi="Times New Roman"/>
          <w:sz w:val="24"/>
          <w:szCs w:val="24"/>
          <w:vertAlign w:val="superscript"/>
        </w:rPr>
        <w:t xml:space="preserve"> </w:t>
      </w:r>
      <w:r w:rsidRPr="006F6CA5">
        <w:rPr>
          <w:rFonts w:ascii="Times New Roman" w:hAnsi="Times New Roman"/>
          <w:sz w:val="24"/>
          <w:szCs w:val="24"/>
        </w:rPr>
        <w:t xml:space="preserve">uyarınca sınırlı olumlu görüş (şartlı görüş) verir veya finansal tablolara ilişkin görüş vermekten kaçınır (Bakınız: A8 </w:t>
      </w:r>
      <w:r>
        <w:rPr>
          <w:rFonts w:ascii="Times New Roman" w:hAnsi="Times New Roman"/>
          <w:sz w:val="24"/>
          <w:szCs w:val="24"/>
        </w:rPr>
        <w:t>p</w:t>
      </w:r>
      <w:r w:rsidRPr="006F6CA5">
        <w:rPr>
          <w:rFonts w:ascii="Times New Roman" w:hAnsi="Times New Roman"/>
          <w:sz w:val="24"/>
          <w:szCs w:val="24"/>
        </w:rPr>
        <w:t xml:space="preserve">aragrafı).  </w:t>
      </w:r>
    </w:p>
    <w:p w:rsidR="00E14BA8" w:rsidRPr="006F6CA5" w:rsidRDefault="00E14BA8" w:rsidP="000F4ECC">
      <w:pPr>
        <w:pStyle w:val="ListeParagraf"/>
        <w:numPr>
          <w:ilvl w:val="0"/>
          <w:numId w:val="25"/>
        </w:numPr>
        <w:spacing w:before="120" w:after="120"/>
        <w:ind w:hanging="720"/>
        <w:contextualSpacing w:val="0"/>
        <w:jc w:val="both"/>
        <w:rPr>
          <w:rFonts w:ascii="Times New Roman" w:hAnsi="Times New Roman"/>
          <w:sz w:val="24"/>
          <w:szCs w:val="24"/>
        </w:rPr>
      </w:pPr>
      <w:r w:rsidRPr="006F6CA5">
        <w:rPr>
          <w:rFonts w:ascii="Times New Roman" w:hAnsi="Times New Roman"/>
          <w:sz w:val="24"/>
          <w:szCs w:val="24"/>
        </w:rPr>
        <w:t>Açılış bakiyelerinin cari dönem finansal tablolarını önemli derecede etkileyen bir yanlışlık içerdiği ve bu yanlışlığın etkisinin uygun bir şekilde muhasebeleştirilmediği veya yeterli şekilde sunulmadığı ya da açıklanmadığı sonucuna varması durumunda denetçi, BDS 705 uyarınca sınırlı olumlu görüş (şartlı görüş) veya olumsuz görüş verir.</w:t>
      </w:r>
    </w:p>
    <w:p w:rsidR="00E14BA8" w:rsidRPr="00A82BB4" w:rsidRDefault="00E14BA8" w:rsidP="000F4ECC">
      <w:pPr>
        <w:spacing w:before="120" w:after="120"/>
        <w:jc w:val="both"/>
        <w:rPr>
          <w:rFonts w:ascii="Times New Roman" w:hAnsi="Times New Roman"/>
          <w:i/>
          <w:sz w:val="24"/>
          <w:szCs w:val="24"/>
        </w:rPr>
      </w:pPr>
      <w:r w:rsidRPr="00A82BB4">
        <w:rPr>
          <w:rFonts w:ascii="Times New Roman" w:hAnsi="Times New Roman"/>
          <w:i/>
          <w:sz w:val="24"/>
          <w:szCs w:val="24"/>
        </w:rPr>
        <w:t>Muhasebe Politikalarının Tutarlılığı</w:t>
      </w:r>
    </w:p>
    <w:p w:rsidR="00E14BA8" w:rsidRPr="00A82BB4" w:rsidRDefault="00E14BA8" w:rsidP="000F4ECC">
      <w:pPr>
        <w:pStyle w:val="ListeParagraf"/>
        <w:numPr>
          <w:ilvl w:val="0"/>
          <w:numId w:val="25"/>
        </w:numPr>
        <w:spacing w:before="120" w:after="120"/>
        <w:ind w:hanging="720"/>
        <w:contextualSpacing w:val="0"/>
        <w:jc w:val="both"/>
        <w:rPr>
          <w:rFonts w:ascii="Times New Roman" w:hAnsi="Times New Roman"/>
          <w:sz w:val="24"/>
          <w:szCs w:val="24"/>
        </w:rPr>
      </w:pPr>
      <w:r w:rsidRPr="00A82BB4">
        <w:rPr>
          <w:rFonts w:ascii="Times New Roman" w:hAnsi="Times New Roman"/>
          <w:sz w:val="24"/>
          <w:szCs w:val="24"/>
        </w:rPr>
        <w:t>Denetçi:</w:t>
      </w:r>
    </w:p>
    <w:p w:rsidR="00E14BA8" w:rsidRPr="00952CE9" w:rsidRDefault="00E14BA8" w:rsidP="000D2E1F">
      <w:pPr>
        <w:pStyle w:val="ListeParagraf"/>
        <w:numPr>
          <w:ilvl w:val="0"/>
          <w:numId w:val="35"/>
        </w:numPr>
        <w:spacing w:before="120" w:after="120"/>
        <w:ind w:left="1418" w:hanging="709"/>
        <w:contextualSpacing w:val="0"/>
        <w:jc w:val="both"/>
        <w:rPr>
          <w:rFonts w:ascii="Times New Roman" w:hAnsi="Times New Roman"/>
          <w:sz w:val="24"/>
          <w:szCs w:val="24"/>
        </w:rPr>
      </w:pPr>
      <w:r w:rsidRPr="00952CE9">
        <w:rPr>
          <w:rFonts w:ascii="Times New Roman" w:hAnsi="Times New Roman"/>
          <w:sz w:val="24"/>
          <w:szCs w:val="24"/>
        </w:rPr>
        <w:t>Açılış bakiyeleri</w:t>
      </w:r>
      <w:r w:rsidRPr="0021192A">
        <w:rPr>
          <w:rFonts w:ascii="Times New Roman" w:hAnsi="Times New Roman"/>
          <w:sz w:val="24"/>
          <w:szCs w:val="24"/>
        </w:rPr>
        <w:t>ne ilişkin olarak, cari dönem muhasebe politikalarının geçerli finansal raporlama çerçevesi uyarınca tutarlı bir şekilde uygulanmadığı veya</w:t>
      </w:r>
    </w:p>
    <w:p w:rsidR="00E14BA8" w:rsidRPr="00E811FB" w:rsidRDefault="00E14BA8" w:rsidP="000D2E1F">
      <w:pPr>
        <w:pStyle w:val="ListeParagraf"/>
        <w:numPr>
          <w:ilvl w:val="0"/>
          <w:numId w:val="35"/>
        </w:numPr>
        <w:spacing w:before="120" w:after="120"/>
        <w:ind w:left="1418" w:hanging="709"/>
        <w:contextualSpacing w:val="0"/>
        <w:jc w:val="both"/>
        <w:rPr>
          <w:rFonts w:ascii="Times New Roman" w:hAnsi="Times New Roman"/>
          <w:sz w:val="24"/>
          <w:szCs w:val="24"/>
        </w:rPr>
      </w:pPr>
      <w:r w:rsidRPr="00E811FB">
        <w:rPr>
          <w:rFonts w:ascii="Times New Roman" w:hAnsi="Times New Roman"/>
          <w:sz w:val="24"/>
          <w:szCs w:val="24"/>
        </w:rPr>
        <w:t xml:space="preserve">Muhasebe politikalarında meydana gelen bir değişikliğin geçerli finansal raporlama çerçevesi uyarınca uygun </w:t>
      </w:r>
      <w:r>
        <w:rPr>
          <w:rFonts w:ascii="Times New Roman" w:hAnsi="Times New Roman"/>
          <w:sz w:val="24"/>
          <w:szCs w:val="24"/>
        </w:rPr>
        <w:t>bir biçimde</w:t>
      </w:r>
      <w:r w:rsidRPr="00E811FB">
        <w:rPr>
          <w:rFonts w:ascii="Times New Roman" w:hAnsi="Times New Roman"/>
          <w:sz w:val="24"/>
          <w:szCs w:val="24"/>
        </w:rPr>
        <w:t xml:space="preserve"> </w:t>
      </w:r>
      <w:r>
        <w:rPr>
          <w:rFonts w:ascii="Times New Roman" w:hAnsi="Times New Roman"/>
          <w:sz w:val="24"/>
          <w:szCs w:val="24"/>
        </w:rPr>
        <w:t>uygulanmadığı</w:t>
      </w:r>
      <w:r w:rsidRPr="00E811FB">
        <w:rPr>
          <w:rFonts w:ascii="Times New Roman" w:hAnsi="Times New Roman"/>
          <w:sz w:val="24"/>
          <w:szCs w:val="24"/>
        </w:rPr>
        <w:t xml:space="preserve"> veya yeterli şekilde sunulmadığı </w:t>
      </w:r>
      <w:r>
        <w:rPr>
          <w:rFonts w:ascii="Times New Roman" w:hAnsi="Times New Roman"/>
          <w:sz w:val="24"/>
          <w:szCs w:val="24"/>
        </w:rPr>
        <w:t>ya da</w:t>
      </w:r>
      <w:r w:rsidRPr="00E811FB">
        <w:rPr>
          <w:rFonts w:ascii="Times New Roman" w:hAnsi="Times New Roman"/>
          <w:sz w:val="24"/>
          <w:szCs w:val="24"/>
        </w:rPr>
        <w:t xml:space="preserve"> açıklanmadığı</w:t>
      </w:r>
    </w:p>
    <w:p w:rsidR="00E14BA8" w:rsidRPr="00111CB4" w:rsidRDefault="00E14BA8" w:rsidP="000F4ECC">
      <w:pPr>
        <w:spacing w:before="120" w:after="120"/>
        <w:ind w:left="709"/>
        <w:jc w:val="both"/>
        <w:rPr>
          <w:rFonts w:ascii="Times New Roman" w:hAnsi="Times New Roman"/>
          <w:sz w:val="24"/>
          <w:szCs w:val="24"/>
        </w:rPr>
      </w:pPr>
      <w:r w:rsidRPr="00111CB4">
        <w:rPr>
          <w:rFonts w:ascii="Times New Roman" w:hAnsi="Times New Roman"/>
          <w:sz w:val="24"/>
          <w:szCs w:val="24"/>
        </w:rPr>
        <w:t>sonucuna varması durumunda</w:t>
      </w:r>
      <w:r>
        <w:rPr>
          <w:rFonts w:ascii="Times New Roman" w:hAnsi="Times New Roman"/>
          <w:sz w:val="24"/>
          <w:szCs w:val="24"/>
        </w:rPr>
        <w:t>,</w:t>
      </w:r>
      <w:r w:rsidRPr="00111CB4">
        <w:rPr>
          <w:rFonts w:ascii="Times New Roman" w:hAnsi="Times New Roman"/>
          <w:sz w:val="24"/>
          <w:szCs w:val="24"/>
        </w:rPr>
        <w:t xml:space="preserve"> BDS 705 uyarınca sınırlı olumlu görüş (şartlı görüş) veya olumsuz görüş verir.</w:t>
      </w:r>
    </w:p>
    <w:p w:rsidR="00E14BA8" w:rsidRPr="00A82BB4" w:rsidRDefault="00E14BA8" w:rsidP="000F4ECC">
      <w:pPr>
        <w:spacing w:before="120" w:after="120"/>
        <w:ind w:left="567" w:hanging="567"/>
        <w:jc w:val="both"/>
        <w:rPr>
          <w:rFonts w:ascii="Times New Roman" w:hAnsi="Times New Roman"/>
          <w:sz w:val="24"/>
          <w:szCs w:val="24"/>
        </w:rPr>
      </w:pPr>
      <w:r w:rsidRPr="00A82BB4">
        <w:rPr>
          <w:rFonts w:ascii="Times New Roman" w:hAnsi="Times New Roman"/>
          <w:i/>
          <w:sz w:val="24"/>
          <w:szCs w:val="24"/>
        </w:rPr>
        <w:t xml:space="preserve">Önceki Denetçi Raporunda Olumlu </w:t>
      </w:r>
      <w:r>
        <w:rPr>
          <w:rFonts w:ascii="Times New Roman" w:hAnsi="Times New Roman"/>
          <w:i/>
          <w:sz w:val="24"/>
          <w:szCs w:val="24"/>
        </w:rPr>
        <w:t xml:space="preserve">Görüş </w:t>
      </w:r>
      <w:r w:rsidRPr="00A82BB4">
        <w:rPr>
          <w:rFonts w:ascii="Times New Roman" w:hAnsi="Times New Roman"/>
          <w:i/>
          <w:sz w:val="24"/>
          <w:szCs w:val="24"/>
        </w:rPr>
        <w:t>Dışında Bir Görüşün Yer Alması</w:t>
      </w:r>
      <w:r w:rsidRPr="00A82BB4">
        <w:rPr>
          <w:rFonts w:ascii="Times New Roman" w:hAnsi="Times New Roman"/>
          <w:sz w:val="24"/>
          <w:szCs w:val="24"/>
        </w:rPr>
        <w:t xml:space="preserve"> </w:t>
      </w:r>
    </w:p>
    <w:p w:rsidR="00E14BA8" w:rsidRPr="00111CB4" w:rsidRDefault="00E14BA8" w:rsidP="000F4ECC">
      <w:pPr>
        <w:pStyle w:val="ListeParagraf"/>
        <w:numPr>
          <w:ilvl w:val="0"/>
          <w:numId w:val="25"/>
        </w:numPr>
        <w:spacing w:before="120" w:after="120"/>
        <w:ind w:hanging="720"/>
        <w:contextualSpacing w:val="0"/>
        <w:jc w:val="both"/>
        <w:rPr>
          <w:rFonts w:ascii="Times New Roman" w:hAnsi="Times New Roman"/>
          <w:sz w:val="24"/>
          <w:szCs w:val="24"/>
        </w:rPr>
      </w:pPr>
      <w:r w:rsidRPr="00111CB4">
        <w:rPr>
          <w:rFonts w:ascii="Times New Roman" w:hAnsi="Times New Roman"/>
          <w:sz w:val="24"/>
          <w:szCs w:val="24"/>
        </w:rPr>
        <w:t>Önceki denetçinin, önceki döneme ait finansal tablolara ilişkin verdiği olumlu görüş dışındaki görüşünün cari dönem</w:t>
      </w:r>
      <w:r>
        <w:rPr>
          <w:rFonts w:ascii="Times New Roman" w:hAnsi="Times New Roman"/>
          <w:sz w:val="24"/>
          <w:szCs w:val="24"/>
        </w:rPr>
        <w:t>e ait</w:t>
      </w:r>
      <w:r w:rsidRPr="00111CB4">
        <w:rPr>
          <w:rFonts w:ascii="Times New Roman" w:hAnsi="Times New Roman"/>
          <w:sz w:val="24"/>
          <w:szCs w:val="24"/>
        </w:rPr>
        <w:t xml:space="preserve"> finansal tablolar </w:t>
      </w:r>
      <w:r>
        <w:rPr>
          <w:rFonts w:ascii="Times New Roman" w:hAnsi="Times New Roman"/>
          <w:sz w:val="24"/>
          <w:szCs w:val="24"/>
        </w:rPr>
        <w:t>açısından</w:t>
      </w:r>
      <w:r w:rsidRPr="00111CB4">
        <w:rPr>
          <w:rFonts w:ascii="Times New Roman" w:hAnsi="Times New Roman"/>
          <w:sz w:val="24"/>
          <w:szCs w:val="24"/>
        </w:rPr>
        <w:t xml:space="preserve"> </w:t>
      </w:r>
      <w:r w:rsidRPr="0021192A">
        <w:rPr>
          <w:rFonts w:ascii="Times New Roman" w:hAnsi="Times New Roman"/>
          <w:sz w:val="24"/>
          <w:szCs w:val="24"/>
        </w:rPr>
        <w:t>ilgili</w:t>
      </w:r>
      <w:r w:rsidRPr="00111CB4">
        <w:rPr>
          <w:rFonts w:ascii="Times New Roman" w:hAnsi="Times New Roman"/>
          <w:sz w:val="24"/>
          <w:szCs w:val="24"/>
        </w:rPr>
        <w:t xml:space="preserve"> ve önemli olması durumunda denetçi, cari dönem finansal tablolarına ilişkin olarak BDS 705 ve BDS 710 uyarınca olumlu görüş dışında bir görüş verir (Bakınız: A9 </w:t>
      </w:r>
      <w:r>
        <w:rPr>
          <w:rFonts w:ascii="Times New Roman" w:hAnsi="Times New Roman"/>
          <w:sz w:val="24"/>
          <w:szCs w:val="24"/>
        </w:rPr>
        <w:t>p</w:t>
      </w:r>
      <w:r w:rsidRPr="00111CB4">
        <w:rPr>
          <w:rFonts w:ascii="Times New Roman" w:hAnsi="Times New Roman"/>
          <w:sz w:val="24"/>
          <w:szCs w:val="24"/>
        </w:rPr>
        <w:t xml:space="preserve">aragrafı).  </w:t>
      </w:r>
    </w:p>
    <w:p w:rsidR="00E14BA8" w:rsidRDefault="00E14BA8" w:rsidP="000F4ECC">
      <w:pPr>
        <w:spacing w:before="120" w:after="120"/>
        <w:jc w:val="center"/>
        <w:rPr>
          <w:rFonts w:ascii="Times New Roman" w:hAnsi="Times New Roman"/>
          <w:sz w:val="24"/>
          <w:szCs w:val="24"/>
        </w:rPr>
      </w:pPr>
    </w:p>
    <w:p w:rsidR="00E14BA8" w:rsidRPr="00A82BB4" w:rsidRDefault="00E14BA8" w:rsidP="000F4ECC">
      <w:pPr>
        <w:spacing w:before="120" w:after="120"/>
        <w:jc w:val="center"/>
        <w:rPr>
          <w:rFonts w:ascii="Times New Roman" w:hAnsi="Times New Roman"/>
          <w:sz w:val="24"/>
          <w:szCs w:val="24"/>
        </w:rPr>
      </w:pPr>
      <w:r w:rsidRPr="00A82BB4">
        <w:rPr>
          <w:rFonts w:ascii="Times New Roman" w:hAnsi="Times New Roman"/>
          <w:sz w:val="24"/>
          <w:szCs w:val="24"/>
        </w:rPr>
        <w:lastRenderedPageBreak/>
        <w:t>***</w:t>
      </w:r>
    </w:p>
    <w:p w:rsidR="00E14BA8" w:rsidRPr="00AC0D6E" w:rsidRDefault="00E14BA8" w:rsidP="000F4ECC">
      <w:pPr>
        <w:spacing w:before="120" w:after="120"/>
        <w:jc w:val="both"/>
        <w:rPr>
          <w:rFonts w:ascii="Times New Roman" w:hAnsi="Times New Roman"/>
          <w:b/>
          <w:sz w:val="27"/>
          <w:szCs w:val="27"/>
        </w:rPr>
      </w:pPr>
      <w:r w:rsidRPr="00AC0D6E">
        <w:rPr>
          <w:rFonts w:ascii="Times New Roman" w:hAnsi="Times New Roman"/>
          <w:b/>
          <w:sz w:val="27"/>
          <w:szCs w:val="27"/>
        </w:rPr>
        <w:t>Açıklayıcı Hükümler ve Uygulama</w:t>
      </w:r>
    </w:p>
    <w:p w:rsidR="00E14BA8" w:rsidRPr="00A82BB4" w:rsidRDefault="00E14BA8" w:rsidP="000F4ECC">
      <w:pPr>
        <w:spacing w:before="120" w:after="120"/>
        <w:jc w:val="both"/>
        <w:rPr>
          <w:rFonts w:ascii="Times New Roman" w:hAnsi="Times New Roman"/>
          <w:b/>
          <w:sz w:val="24"/>
          <w:szCs w:val="24"/>
        </w:rPr>
      </w:pPr>
      <w:r w:rsidRPr="00A82BB4">
        <w:rPr>
          <w:rFonts w:ascii="Times New Roman" w:hAnsi="Times New Roman"/>
          <w:b/>
          <w:sz w:val="24"/>
          <w:szCs w:val="24"/>
        </w:rPr>
        <w:t>Denetim Prosedürleri</w:t>
      </w:r>
    </w:p>
    <w:p w:rsidR="00E14BA8" w:rsidRPr="00A82BB4" w:rsidRDefault="00E14BA8" w:rsidP="000F4ECC">
      <w:pPr>
        <w:spacing w:before="120" w:after="120"/>
        <w:jc w:val="both"/>
        <w:rPr>
          <w:rFonts w:ascii="Times New Roman" w:hAnsi="Times New Roman"/>
          <w:sz w:val="24"/>
          <w:szCs w:val="24"/>
        </w:rPr>
      </w:pPr>
      <w:r w:rsidRPr="00A82BB4">
        <w:rPr>
          <w:rFonts w:ascii="Times New Roman" w:hAnsi="Times New Roman"/>
          <w:i/>
          <w:sz w:val="24"/>
          <w:szCs w:val="24"/>
        </w:rPr>
        <w:t>Kamu Sektörü İşletmelerine Özgü Hususlar</w:t>
      </w:r>
      <w:r w:rsidRPr="00A82BB4">
        <w:rPr>
          <w:rFonts w:ascii="Times New Roman" w:hAnsi="Times New Roman"/>
          <w:sz w:val="24"/>
          <w:szCs w:val="24"/>
        </w:rPr>
        <w:t xml:space="preserve"> (Bakınız: 6 ncı </w:t>
      </w:r>
      <w:r>
        <w:rPr>
          <w:rFonts w:ascii="Times New Roman" w:hAnsi="Times New Roman"/>
          <w:sz w:val="24"/>
          <w:szCs w:val="24"/>
        </w:rPr>
        <w:t>p</w:t>
      </w:r>
      <w:r w:rsidRPr="00A82BB4">
        <w:rPr>
          <w:rFonts w:ascii="Times New Roman" w:hAnsi="Times New Roman"/>
          <w:sz w:val="24"/>
          <w:szCs w:val="24"/>
        </w:rPr>
        <w:t>aragraf)</w:t>
      </w:r>
    </w:p>
    <w:p w:rsidR="00E14BA8" w:rsidRDefault="00E14BA8" w:rsidP="00AB2827">
      <w:pPr>
        <w:pStyle w:val="ListeParagraf"/>
        <w:numPr>
          <w:ilvl w:val="0"/>
          <w:numId w:val="31"/>
        </w:numPr>
        <w:spacing w:before="120" w:after="120"/>
        <w:ind w:hanging="720"/>
        <w:contextualSpacing w:val="0"/>
        <w:jc w:val="both"/>
      </w:pPr>
      <w:r w:rsidRPr="00EC7227">
        <w:rPr>
          <w:rFonts w:ascii="Times New Roman" w:hAnsi="Times New Roman"/>
          <w:sz w:val="24"/>
          <w:szCs w:val="24"/>
        </w:rPr>
        <w:t xml:space="preserve">Kamu sektöründe, </w:t>
      </w:r>
      <w:r>
        <w:rPr>
          <w:rFonts w:ascii="Times New Roman" w:hAnsi="Times New Roman"/>
          <w:sz w:val="24"/>
          <w:szCs w:val="24"/>
        </w:rPr>
        <w:t>cari dönem</w:t>
      </w:r>
      <w:r w:rsidRPr="00EC7227">
        <w:rPr>
          <w:rFonts w:ascii="Times New Roman" w:hAnsi="Times New Roman"/>
          <w:sz w:val="24"/>
          <w:szCs w:val="24"/>
        </w:rPr>
        <w:t xml:space="preserve"> denetçi</w:t>
      </w:r>
      <w:r>
        <w:rPr>
          <w:rFonts w:ascii="Times New Roman" w:hAnsi="Times New Roman"/>
          <w:sz w:val="24"/>
          <w:szCs w:val="24"/>
        </w:rPr>
        <w:t>si</w:t>
      </w:r>
      <w:r w:rsidRPr="00EC7227">
        <w:rPr>
          <w:rFonts w:ascii="Times New Roman" w:hAnsi="Times New Roman"/>
          <w:sz w:val="24"/>
          <w:szCs w:val="24"/>
        </w:rPr>
        <w:t>nin önceki denetçiden edinebileceği bilgiyle ilgili olarak mevzuattan kaynaklana</w:t>
      </w:r>
      <w:r w:rsidRPr="006503B3">
        <w:rPr>
          <w:rFonts w:ascii="Times New Roman" w:hAnsi="Times New Roman"/>
          <w:sz w:val="24"/>
          <w:szCs w:val="24"/>
        </w:rPr>
        <w:t xml:space="preserve">n </w:t>
      </w:r>
      <w:r w:rsidRPr="0021192A">
        <w:rPr>
          <w:rFonts w:ascii="Times New Roman" w:hAnsi="Times New Roman"/>
          <w:sz w:val="24"/>
          <w:szCs w:val="24"/>
        </w:rPr>
        <w:t>kısıtlamalar</w:t>
      </w:r>
      <w:r w:rsidRPr="006503B3">
        <w:rPr>
          <w:rFonts w:ascii="Times New Roman" w:hAnsi="Times New Roman"/>
          <w:sz w:val="24"/>
          <w:szCs w:val="24"/>
        </w:rPr>
        <w:t xml:space="preserve"> </w:t>
      </w:r>
      <w:r>
        <w:rPr>
          <w:rFonts w:ascii="Times New Roman" w:hAnsi="Times New Roman"/>
          <w:sz w:val="24"/>
          <w:szCs w:val="24"/>
        </w:rPr>
        <w:t>(</w:t>
      </w:r>
      <w:r w:rsidRPr="006503B3">
        <w:rPr>
          <w:rFonts w:ascii="Times New Roman" w:hAnsi="Times New Roman"/>
          <w:sz w:val="24"/>
          <w:szCs w:val="24"/>
        </w:rPr>
        <w:t>sınırlamalar</w:t>
      </w:r>
      <w:r>
        <w:rPr>
          <w:rFonts w:ascii="Times New Roman" w:hAnsi="Times New Roman"/>
          <w:sz w:val="24"/>
          <w:szCs w:val="24"/>
        </w:rPr>
        <w:t>)</w:t>
      </w:r>
      <w:r w:rsidRPr="00EC7227">
        <w:rPr>
          <w:rFonts w:ascii="Times New Roman" w:hAnsi="Times New Roman"/>
          <w:sz w:val="24"/>
          <w:szCs w:val="24"/>
        </w:rPr>
        <w:t xml:space="preserve"> olabilir. Örneğin, daha önce yasal olarak atanan bir </w:t>
      </w:r>
      <w:r>
        <w:rPr>
          <w:rFonts w:ascii="Times New Roman" w:hAnsi="Times New Roman"/>
          <w:sz w:val="24"/>
          <w:szCs w:val="24"/>
        </w:rPr>
        <w:t xml:space="preserve">kamu sektörü </w:t>
      </w:r>
      <w:r w:rsidRPr="00EC7227">
        <w:rPr>
          <w:rFonts w:ascii="Times New Roman" w:hAnsi="Times New Roman"/>
          <w:sz w:val="24"/>
          <w:szCs w:val="24"/>
        </w:rPr>
        <w:t>denetçi</w:t>
      </w:r>
      <w:r>
        <w:rPr>
          <w:rFonts w:ascii="Times New Roman" w:hAnsi="Times New Roman"/>
          <w:sz w:val="24"/>
          <w:szCs w:val="24"/>
        </w:rPr>
        <w:t>si</w:t>
      </w:r>
      <w:r w:rsidRPr="00EC7227">
        <w:rPr>
          <w:rFonts w:ascii="Times New Roman" w:hAnsi="Times New Roman"/>
          <w:sz w:val="24"/>
          <w:szCs w:val="24"/>
        </w:rPr>
        <w:t xml:space="preserve"> tarafından denetlenmiş olan bir kamu sektörü işletmesinin özelleştirilmesi durumunda, </w:t>
      </w:r>
      <w:r>
        <w:rPr>
          <w:rFonts w:ascii="Times New Roman" w:hAnsi="Times New Roman"/>
          <w:sz w:val="24"/>
          <w:szCs w:val="24"/>
        </w:rPr>
        <w:t>yasal olarak</w:t>
      </w:r>
      <w:r w:rsidRPr="00EC7227">
        <w:rPr>
          <w:rFonts w:ascii="Times New Roman" w:hAnsi="Times New Roman"/>
          <w:sz w:val="24"/>
          <w:szCs w:val="24"/>
        </w:rPr>
        <w:t xml:space="preserve"> atan</w:t>
      </w:r>
      <w:r>
        <w:rPr>
          <w:rFonts w:ascii="Times New Roman" w:hAnsi="Times New Roman"/>
          <w:sz w:val="24"/>
          <w:szCs w:val="24"/>
        </w:rPr>
        <w:t>an</w:t>
      </w:r>
      <w:r w:rsidRPr="00EC7227">
        <w:rPr>
          <w:rFonts w:ascii="Times New Roman" w:hAnsi="Times New Roman"/>
          <w:sz w:val="24"/>
          <w:szCs w:val="24"/>
        </w:rPr>
        <w:t xml:space="preserve"> denetçinin yeni denetçiye (özel sektörden atanan</w:t>
      </w:r>
      <w:r>
        <w:rPr>
          <w:rFonts w:ascii="Times New Roman" w:hAnsi="Times New Roman"/>
          <w:sz w:val="24"/>
          <w:szCs w:val="24"/>
        </w:rPr>
        <w:t xml:space="preserve"> denetçiye</w:t>
      </w:r>
      <w:r w:rsidRPr="00EC7227">
        <w:rPr>
          <w:rFonts w:ascii="Times New Roman" w:hAnsi="Times New Roman"/>
          <w:sz w:val="24"/>
          <w:szCs w:val="24"/>
        </w:rPr>
        <w:t>) sağlayabileceği çalışma kâğıtları</w:t>
      </w:r>
      <w:r>
        <w:rPr>
          <w:rFonts w:ascii="Times New Roman" w:hAnsi="Times New Roman"/>
          <w:sz w:val="24"/>
          <w:szCs w:val="24"/>
        </w:rPr>
        <w:t>na</w:t>
      </w:r>
      <w:r w:rsidRPr="00EC7227">
        <w:rPr>
          <w:rFonts w:ascii="Times New Roman" w:hAnsi="Times New Roman"/>
          <w:sz w:val="24"/>
          <w:szCs w:val="24"/>
        </w:rPr>
        <w:t xml:space="preserve"> ve diğer bilgiler</w:t>
      </w:r>
      <w:r>
        <w:rPr>
          <w:rFonts w:ascii="Times New Roman" w:hAnsi="Times New Roman"/>
          <w:sz w:val="24"/>
          <w:szCs w:val="24"/>
        </w:rPr>
        <w:t>e</w:t>
      </w:r>
      <w:r w:rsidRPr="00EC7227">
        <w:rPr>
          <w:rFonts w:ascii="Times New Roman" w:hAnsi="Times New Roman"/>
          <w:sz w:val="24"/>
          <w:szCs w:val="24"/>
        </w:rPr>
        <w:t xml:space="preserve"> erişim, gizliliğe</w:t>
      </w:r>
      <w:r>
        <w:rPr>
          <w:rFonts w:ascii="Times New Roman" w:hAnsi="Times New Roman"/>
          <w:sz w:val="24"/>
          <w:szCs w:val="24"/>
        </w:rPr>
        <w:t xml:space="preserve"> (sır saklamaya)</w:t>
      </w:r>
      <w:r w:rsidRPr="00EC7227">
        <w:rPr>
          <w:rFonts w:ascii="Times New Roman" w:hAnsi="Times New Roman"/>
          <w:sz w:val="24"/>
          <w:szCs w:val="24"/>
        </w:rPr>
        <w:t xml:space="preserve"> ilişkin mevzuat tarafından </w:t>
      </w:r>
      <w:r w:rsidRPr="0021192A">
        <w:rPr>
          <w:rFonts w:ascii="Times New Roman" w:hAnsi="Times New Roman"/>
          <w:sz w:val="24"/>
          <w:szCs w:val="24"/>
        </w:rPr>
        <w:t>kısıtlanmış</w:t>
      </w:r>
      <w:r w:rsidRPr="00EC7227">
        <w:rPr>
          <w:rFonts w:ascii="Times New Roman" w:hAnsi="Times New Roman"/>
          <w:sz w:val="24"/>
          <w:szCs w:val="24"/>
        </w:rPr>
        <w:t xml:space="preserve"> olabilir. </w:t>
      </w:r>
      <w:r w:rsidRPr="0021192A">
        <w:rPr>
          <w:rFonts w:ascii="Times New Roman" w:hAnsi="Times New Roman"/>
          <w:sz w:val="24"/>
          <w:szCs w:val="24"/>
        </w:rPr>
        <w:t>İletişimlerin kısıtlandığı</w:t>
      </w:r>
      <w:r w:rsidRPr="00EC7227">
        <w:rPr>
          <w:rFonts w:ascii="Times New Roman" w:hAnsi="Times New Roman"/>
          <w:sz w:val="24"/>
          <w:szCs w:val="24"/>
        </w:rPr>
        <w:t xml:space="preserve"> bu tür durumlarda, denetim kanıt</w:t>
      </w:r>
      <w:r>
        <w:rPr>
          <w:rFonts w:ascii="Times New Roman" w:hAnsi="Times New Roman"/>
          <w:sz w:val="24"/>
          <w:szCs w:val="24"/>
        </w:rPr>
        <w:t>lar</w:t>
      </w:r>
      <w:r w:rsidRPr="00EC7227">
        <w:rPr>
          <w:rFonts w:ascii="Times New Roman" w:hAnsi="Times New Roman"/>
          <w:sz w:val="24"/>
          <w:szCs w:val="24"/>
        </w:rPr>
        <w:t>ının diğer yöntemlerle elde edilmesi gerekebilir</w:t>
      </w:r>
      <w:r>
        <w:rPr>
          <w:rFonts w:ascii="Times New Roman" w:hAnsi="Times New Roman"/>
          <w:sz w:val="24"/>
          <w:szCs w:val="24"/>
        </w:rPr>
        <w:t xml:space="preserve"> ve</w:t>
      </w:r>
      <w:r w:rsidRPr="00EC7227">
        <w:rPr>
          <w:rFonts w:ascii="Times New Roman" w:hAnsi="Times New Roman"/>
          <w:sz w:val="24"/>
          <w:szCs w:val="24"/>
        </w:rPr>
        <w:t xml:space="preserve"> </w:t>
      </w:r>
      <w:r>
        <w:rPr>
          <w:rFonts w:ascii="Times New Roman" w:hAnsi="Times New Roman"/>
          <w:sz w:val="24"/>
          <w:szCs w:val="24"/>
        </w:rPr>
        <w:t>y</w:t>
      </w:r>
      <w:r w:rsidRPr="00EC7227">
        <w:rPr>
          <w:rFonts w:ascii="Times New Roman" w:hAnsi="Times New Roman"/>
          <w:sz w:val="24"/>
          <w:szCs w:val="24"/>
        </w:rPr>
        <w:t>eterli ve uygun denetim kanıtı elde edilemediği takdirde söz konusu durumun denetçi görüşü üzerindeki etkisi değerlendirilir.</w:t>
      </w:r>
    </w:p>
    <w:p w:rsidR="00E14BA8" w:rsidRPr="00AD0F0D" w:rsidRDefault="00E14BA8" w:rsidP="0025360F">
      <w:pPr>
        <w:pStyle w:val="ListeParagraf"/>
        <w:numPr>
          <w:ilvl w:val="0"/>
          <w:numId w:val="31"/>
        </w:numPr>
        <w:spacing w:before="120" w:after="120"/>
        <w:ind w:left="705" w:hanging="705"/>
        <w:contextualSpacing w:val="0"/>
        <w:jc w:val="both"/>
        <w:rPr>
          <w:rFonts w:ascii="Times New Roman" w:hAnsi="Times New Roman"/>
          <w:sz w:val="24"/>
          <w:szCs w:val="24"/>
        </w:rPr>
      </w:pPr>
      <w:r w:rsidRPr="00AB2827">
        <w:rPr>
          <w:rFonts w:ascii="Times New Roman" w:hAnsi="Times New Roman"/>
          <w:sz w:val="24"/>
          <w:szCs w:val="24"/>
        </w:rPr>
        <w:t xml:space="preserve">Kamu sektöründeki bir işletmenin denetiminin yürütülmesi </w:t>
      </w:r>
      <w:r w:rsidRPr="00E75013">
        <w:rPr>
          <w:rFonts w:ascii="Times New Roman" w:hAnsi="Times New Roman"/>
          <w:sz w:val="24"/>
          <w:szCs w:val="24"/>
        </w:rPr>
        <w:t xml:space="preserve">için </w:t>
      </w:r>
      <w:r w:rsidRPr="0021192A">
        <w:rPr>
          <w:rFonts w:ascii="Times New Roman" w:hAnsi="Times New Roman"/>
          <w:sz w:val="24"/>
          <w:szCs w:val="24"/>
        </w:rPr>
        <w:t>yasal olarak atanan bir denetçinin</w:t>
      </w:r>
      <w:r w:rsidRPr="00E75013">
        <w:rPr>
          <w:rFonts w:ascii="Times New Roman" w:hAnsi="Times New Roman"/>
          <w:sz w:val="24"/>
          <w:szCs w:val="24"/>
        </w:rPr>
        <w:t xml:space="preserve"> özel sektörde faaliyet gösteren bir denetim şirketinden hizmet alması ve önceki dönemde</w:t>
      </w:r>
      <w:r w:rsidRPr="008C574A">
        <w:rPr>
          <w:rFonts w:ascii="Times New Roman" w:hAnsi="Times New Roman"/>
          <w:sz w:val="24"/>
          <w:szCs w:val="24"/>
        </w:rPr>
        <w:t xml:space="preserve"> işletmenin finansal tablolarını denetleyen şirketten</w:t>
      </w:r>
      <w:r w:rsidRPr="00AB2827">
        <w:rPr>
          <w:rFonts w:ascii="Times New Roman" w:hAnsi="Times New Roman"/>
          <w:sz w:val="24"/>
          <w:szCs w:val="24"/>
        </w:rPr>
        <w:t xml:space="preserve"> farklı bir denetim şirketini ataması </w:t>
      </w:r>
      <w:r w:rsidRPr="00E75013">
        <w:rPr>
          <w:rFonts w:ascii="Times New Roman" w:hAnsi="Times New Roman"/>
          <w:sz w:val="24"/>
          <w:szCs w:val="24"/>
        </w:rPr>
        <w:t xml:space="preserve">durumunda, </w:t>
      </w:r>
      <w:r w:rsidRPr="0021192A">
        <w:rPr>
          <w:rFonts w:ascii="Times New Roman" w:hAnsi="Times New Roman"/>
          <w:sz w:val="24"/>
          <w:szCs w:val="24"/>
        </w:rPr>
        <w:t>yasal olarak atanan denetçi</w:t>
      </w:r>
      <w:r w:rsidRPr="00E75013">
        <w:rPr>
          <w:rFonts w:ascii="Times New Roman" w:hAnsi="Times New Roman"/>
          <w:sz w:val="24"/>
          <w:szCs w:val="24"/>
        </w:rPr>
        <w:t xml:space="preserve"> açısından bu</w:t>
      </w:r>
      <w:r w:rsidRPr="00AB2827">
        <w:rPr>
          <w:rFonts w:ascii="Times New Roman" w:hAnsi="Times New Roman"/>
          <w:sz w:val="24"/>
          <w:szCs w:val="24"/>
        </w:rPr>
        <w:t xml:space="preserve"> durum, genellikle denetçi değişikliği olarak kabul edilmez.</w:t>
      </w:r>
      <w:r w:rsidRPr="00AD0F0D">
        <w:rPr>
          <w:rFonts w:ascii="Times New Roman" w:hAnsi="Times New Roman"/>
          <w:sz w:val="24"/>
          <w:szCs w:val="24"/>
        </w:rPr>
        <w:t xml:space="preserve"> </w:t>
      </w:r>
      <w:r w:rsidRPr="0025360F">
        <w:rPr>
          <w:rFonts w:ascii="Times New Roman" w:hAnsi="Times New Roman"/>
          <w:sz w:val="24"/>
          <w:szCs w:val="24"/>
        </w:rPr>
        <w:t xml:space="preserve">Ancak hizmet alım sözleşmesinin niteliğine bağlı olarak söz konusu denetim, </w:t>
      </w:r>
      <w:r w:rsidRPr="0021192A">
        <w:rPr>
          <w:rFonts w:ascii="Times New Roman" w:hAnsi="Times New Roman"/>
          <w:sz w:val="24"/>
          <w:szCs w:val="24"/>
        </w:rPr>
        <w:t xml:space="preserve">denetçinin sorumluluklarının yerine getirilmesinde özel sektörde faaliyet gösteren denetçi açısından bir ilk denetim olarak </w:t>
      </w:r>
      <w:r w:rsidRPr="0025360F">
        <w:rPr>
          <w:rFonts w:ascii="Times New Roman" w:hAnsi="Times New Roman"/>
          <w:sz w:val="24"/>
          <w:szCs w:val="24"/>
        </w:rPr>
        <w:t>kabul edilebilir ve dolayısıyla</w:t>
      </w:r>
      <w:r w:rsidRPr="00AD0F0D">
        <w:rPr>
          <w:rFonts w:ascii="Times New Roman" w:hAnsi="Times New Roman"/>
          <w:sz w:val="24"/>
          <w:szCs w:val="24"/>
        </w:rPr>
        <w:t xml:space="preserve"> bu BDS uygulanır.</w:t>
      </w:r>
    </w:p>
    <w:p w:rsidR="00E14BA8" w:rsidRPr="0021192A" w:rsidRDefault="00E14BA8" w:rsidP="0021192A">
      <w:pPr>
        <w:spacing w:before="120" w:after="120"/>
        <w:ind w:left="705" w:hanging="705"/>
        <w:jc w:val="both"/>
        <w:rPr>
          <w:rFonts w:ascii="Times New Roman" w:hAnsi="Times New Roman"/>
          <w:sz w:val="24"/>
          <w:szCs w:val="24"/>
        </w:rPr>
      </w:pPr>
      <w:r w:rsidRPr="0021192A">
        <w:rPr>
          <w:rFonts w:ascii="Times New Roman" w:hAnsi="Times New Roman"/>
          <w:i/>
          <w:sz w:val="24"/>
          <w:szCs w:val="24"/>
        </w:rPr>
        <w:t>Açılış Bakiyeleri</w:t>
      </w:r>
      <w:r w:rsidRPr="0021192A">
        <w:rPr>
          <w:rFonts w:ascii="Times New Roman" w:hAnsi="Times New Roman"/>
          <w:sz w:val="24"/>
          <w:szCs w:val="24"/>
        </w:rPr>
        <w:t xml:space="preserve"> (Bakınız: 6 (c) </w:t>
      </w:r>
      <w:r>
        <w:rPr>
          <w:rFonts w:ascii="Times New Roman" w:hAnsi="Times New Roman"/>
          <w:sz w:val="24"/>
          <w:szCs w:val="24"/>
        </w:rPr>
        <w:t>p</w:t>
      </w:r>
      <w:r w:rsidRPr="0021192A">
        <w:rPr>
          <w:rFonts w:ascii="Times New Roman" w:hAnsi="Times New Roman"/>
          <w:sz w:val="24"/>
          <w:szCs w:val="24"/>
        </w:rPr>
        <w:t>aragrafı)</w:t>
      </w:r>
    </w:p>
    <w:p w:rsidR="00E14BA8" w:rsidRPr="00A82BB4" w:rsidRDefault="00E14BA8" w:rsidP="0021192A">
      <w:pPr>
        <w:spacing w:before="120" w:after="120"/>
        <w:ind w:left="709" w:hanging="709"/>
        <w:jc w:val="both"/>
        <w:rPr>
          <w:rFonts w:ascii="Times New Roman" w:hAnsi="Times New Roman"/>
          <w:sz w:val="24"/>
          <w:szCs w:val="24"/>
        </w:rPr>
      </w:pPr>
      <w:r w:rsidRPr="00A82BB4">
        <w:rPr>
          <w:rFonts w:ascii="Times New Roman" w:hAnsi="Times New Roman"/>
          <w:sz w:val="24"/>
          <w:szCs w:val="24"/>
        </w:rPr>
        <w:t xml:space="preserve">A3.  </w:t>
      </w:r>
      <w:r>
        <w:rPr>
          <w:rFonts w:ascii="Times New Roman" w:hAnsi="Times New Roman"/>
          <w:sz w:val="24"/>
          <w:szCs w:val="24"/>
        </w:rPr>
        <w:tab/>
      </w:r>
      <w:r w:rsidRPr="00111CB4">
        <w:rPr>
          <w:rFonts w:ascii="Times New Roman" w:hAnsi="Times New Roman"/>
          <w:sz w:val="24"/>
          <w:szCs w:val="24"/>
        </w:rPr>
        <w:t>Açılış bakiyeleriyle ilgili yeterli ve uygun denetim kanıtı elde etmek için gerekli olan denetim prosedürlerinin niteliği ve kapsamı</w:t>
      </w:r>
      <w:r>
        <w:rPr>
          <w:rFonts w:ascii="Times New Roman" w:hAnsi="Times New Roman"/>
          <w:sz w:val="24"/>
          <w:szCs w:val="24"/>
        </w:rPr>
        <w:t>,</w:t>
      </w:r>
      <w:r w:rsidRPr="00111CB4">
        <w:rPr>
          <w:rFonts w:ascii="Times New Roman" w:hAnsi="Times New Roman"/>
          <w:sz w:val="24"/>
          <w:szCs w:val="24"/>
        </w:rPr>
        <w:t xml:space="preserve"> aşağıdaki</w:t>
      </w:r>
      <w:r>
        <w:rPr>
          <w:rFonts w:ascii="Times New Roman" w:hAnsi="Times New Roman"/>
          <w:sz w:val="24"/>
          <w:szCs w:val="24"/>
        </w:rPr>
        <w:t xml:space="preserve"> gibi</w:t>
      </w:r>
      <w:r w:rsidRPr="00111CB4">
        <w:rPr>
          <w:rFonts w:ascii="Times New Roman" w:hAnsi="Times New Roman"/>
          <w:sz w:val="24"/>
          <w:szCs w:val="24"/>
        </w:rPr>
        <w:t xml:space="preserve"> hususlara bağlıdır</w:t>
      </w:r>
      <w:r>
        <w:rPr>
          <w:rFonts w:ascii="Times New Roman" w:hAnsi="Times New Roman"/>
          <w:sz w:val="24"/>
          <w:szCs w:val="24"/>
        </w:rPr>
        <w:t>:</w:t>
      </w:r>
    </w:p>
    <w:p w:rsidR="00E14BA8" w:rsidRPr="00A82BB4" w:rsidRDefault="00E14BA8" w:rsidP="0021192A">
      <w:pPr>
        <w:pStyle w:val="ListeParagraf"/>
        <w:numPr>
          <w:ilvl w:val="0"/>
          <w:numId w:val="1"/>
        </w:numPr>
        <w:spacing w:before="120" w:after="120"/>
        <w:ind w:left="1418" w:hanging="709"/>
        <w:contextualSpacing w:val="0"/>
        <w:jc w:val="both"/>
        <w:rPr>
          <w:rFonts w:ascii="Times New Roman" w:hAnsi="Times New Roman"/>
          <w:sz w:val="24"/>
          <w:szCs w:val="24"/>
        </w:rPr>
      </w:pPr>
      <w:r w:rsidRPr="00A82BB4">
        <w:rPr>
          <w:rFonts w:ascii="Times New Roman" w:hAnsi="Times New Roman"/>
          <w:sz w:val="24"/>
          <w:szCs w:val="24"/>
        </w:rPr>
        <w:t>İşletme tarafından uygulanan muhasebe politikaları.</w:t>
      </w:r>
    </w:p>
    <w:p w:rsidR="00E14BA8" w:rsidRPr="00A82BB4" w:rsidRDefault="00E14BA8" w:rsidP="0021192A">
      <w:pPr>
        <w:pStyle w:val="ListeParagraf"/>
        <w:numPr>
          <w:ilvl w:val="0"/>
          <w:numId w:val="1"/>
        </w:numPr>
        <w:spacing w:before="120" w:after="120"/>
        <w:ind w:left="1418" w:hanging="709"/>
        <w:contextualSpacing w:val="0"/>
        <w:jc w:val="both"/>
        <w:rPr>
          <w:rFonts w:ascii="Times New Roman" w:hAnsi="Times New Roman"/>
          <w:sz w:val="24"/>
          <w:szCs w:val="24"/>
        </w:rPr>
      </w:pPr>
      <w:r w:rsidRPr="0025360F">
        <w:rPr>
          <w:rFonts w:ascii="Times New Roman" w:hAnsi="Times New Roman"/>
          <w:sz w:val="24"/>
          <w:szCs w:val="24"/>
        </w:rPr>
        <w:t>Cari dönem</w:t>
      </w:r>
      <w:r>
        <w:rPr>
          <w:rFonts w:ascii="Times New Roman" w:hAnsi="Times New Roman"/>
          <w:sz w:val="24"/>
          <w:szCs w:val="24"/>
        </w:rPr>
        <w:t>e ait</w:t>
      </w:r>
      <w:r w:rsidRPr="0025360F">
        <w:rPr>
          <w:rFonts w:ascii="Times New Roman" w:hAnsi="Times New Roman"/>
          <w:sz w:val="24"/>
          <w:szCs w:val="24"/>
        </w:rPr>
        <w:t xml:space="preserve"> finansal tablolardaki</w:t>
      </w:r>
      <w:r w:rsidRPr="00A82BB4">
        <w:rPr>
          <w:rFonts w:ascii="Times New Roman" w:hAnsi="Times New Roman"/>
          <w:sz w:val="24"/>
          <w:szCs w:val="24"/>
        </w:rPr>
        <w:t xml:space="preserve"> hesap bakiyelerinin, işlem sınıflarının ve açıklamaların niteliği ile </w:t>
      </w:r>
      <w:r>
        <w:rPr>
          <w:rFonts w:ascii="Times New Roman" w:hAnsi="Times New Roman"/>
          <w:sz w:val="24"/>
          <w:szCs w:val="24"/>
        </w:rPr>
        <w:t>“</w:t>
      </w:r>
      <w:r w:rsidRPr="00A82BB4">
        <w:rPr>
          <w:rFonts w:ascii="Times New Roman" w:hAnsi="Times New Roman"/>
          <w:sz w:val="24"/>
          <w:szCs w:val="24"/>
        </w:rPr>
        <w:t>önemli yanlışlık</w:t>
      </w:r>
      <w:r>
        <w:rPr>
          <w:rFonts w:ascii="Times New Roman" w:hAnsi="Times New Roman"/>
          <w:sz w:val="24"/>
          <w:szCs w:val="24"/>
        </w:rPr>
        <w:t>”</w:t>
      </w:r>
      <w:r w:rsidRPr="00A82BB4">
        <w:rPr>
          <w:rFonts w:ascii="Times New Roman" w:hAnsi="Times New Roman"/>
          <w:sz w:val="24"/>
          <w:szCs w:val="24"/>
        </w:rPr>
        <w:t xml:space="preserve"> riskleri.</w:t>
      </w:r>
    </w:p>
    <w:p w:rsidR="00E14BA8" w:rsidRPr="0021192A" w:rsidRDefault="00E14BA8" w:rsidP="0021192A">
      <w:pPr>
        <w:pStyle w:val="ListeParagraf"/>
        <w:numPr>
          <w:ilvl w:val="0"/>
          <w:numId w:val="1"/>
        </w:numPr>
        <w:spacing w:before="120" w:after="120"/>
        <w:ind w:left="1418" w:hanging="709"/>
        <w:contextualSpacing w:val="0"/>
        <w:jc w:val="both"/>
        <w:rPr>
          <w:rFonts w:ascii="Times New Roman" w:hAnsi="Times New Roman"/>
          <w:sz w:val="24"/>
          <w:szCs w:val="24"/>
        </w:rPr>
      </w:pPr>
      <w:r w:rsidRPr="0021192A">
        <w:rPr>
          <w:rFonts w:ascii="Times New Roman" w:hAnsi="Times New Roman"/>
          <w:sz w:val="24"/>
          <w:szCs w:val="24"/>
        </w:rPr>
        <w:t>Cari dönem</w:t>
      </w:r>
      <w:r>
        <w:rPr>
          <w:rFonts w:ascii="Times New Roman" w:hAnsi="Times New Roman"/>
          <w:sz w:val="24"/>
          <w:szCs w:val="24"/>
        </w:rPr>
        <w:t>e ait</w:t>
      </w:r>
      <w:r w:rsidRPr="0021192A">
        <w:rPr>
          <w:rFonts w:ascii="Times New Roman" w:hAnsi="Times New Roman"/>
          <w:sz w:val="24"/>
          <w:szCs w:val="24"/>
        </w:rPr>
        <w:t xml:space="preserve"> finansal tablolar açısından açılış bakiyelerinin önemi.</w:t>
      </w:r>
    </w:p>
    <w:p w:rsidR="00E14BA8" w:rsidRPr="00A82BB4" w:rsidRDefault="00E14BA8" w:rsidP="0021192A">
      <w:pPr>
        <w:pStyle w:val="ListeParagraf"/>
        <w:numPr>
          <w:ilvl w:val="0"/>
          <w:numId w:val="1"/>
        </w:numPr>
        <w:spacing w:before="120" w:after="120"/>
        <w:ind w:left="1418" w:hanging="709"/>
        <w:contextualSpacing w:val="0"/>
        <w:jc w:val="both"/>
        <w:rPr>
          <w:rFonts w:ascii="Times New Roman" w:hAnsi="Times New Roman"/>
          <w:sz w:val="24"/>
          <w:szCs w:val="24"/>
        </w:rPr>
      </w:pPr>
      <w:r w:rsidRPr="00A82BB4">
        <w:rPr>
          <w:rFonts w:ascii="Times New Roman" w:hAnsi="Times New Roman"/>
          <w:sz w:val="24"/>
          <w:szCs w:val="24"/>
        </w:rPr>
        <w:t>Önceki dönem</w:t>
      </w:r>
      <w:r>
        <w:rPr>
          <w:rFonts w:ascii="Times New Roman" w:hAnsi="Times New Roman"/>
          <w:sz w:val="24"/>
          <w:szCs w:val="24"/>
        </w:rPr>
        <w:t>e ait</w:t>
      </w:r>
      <w:r w:rsidRPr="00A82BB4">
        <w:rPr>
          <w:rFonts w:ascii="Times New Roman" w:hAnsi="Times New Roman"/>
          <w:sz w:val="24"/>
          <w:szCs w:val="24"/>
        </w:rPr>
        <w:t xml:space="preserve"> finansal tabloların denetlenmiş olup olmadığı ve denetlenmiş olması durumunda, önceki denetçinin olumlu </w:t>
      </w:r>
      <w:r w:rsidRPr="00111CB4">
        <w:rPr>
          <w:rFonts w:ascii="Times New Roman" w:hAnsi="Times New Roman"/>
          <w:sz w:val="24"/>
          <w:szCs w:val="24"/>
        </w:rPr>
        <w:t>görüş</w:t>
      </w:r>
      <w:r w:rsidRPr="00A82BB4">
        <w:rPr>
          <w:rFonts w:ascii="Times New Roman" w:hAnsi="Times New Roman"/>
          <w:sz w:val="24"/>
          <w:szCs w:val="24"/>
        </w:rPr>
        <w:t xml:space="preserve"> dışında bir görüş verip vermediği.</w:t>
      </w:r>
    </w:p>
    <w:p w:rsidR="00E14BA8" w:rsidRPr="00EC7227" w:rsidRDefault="00E14BA8" w:rsidP="000F4ECC">
      <w:pPr>
        <w:pStyle w:val="ListeParagraf"/>
        <w:numPr>
          <w:ilvl w:val="0"/>
          <w:numId w:val="33"/>
        </w:numPr>
        <w:spacing w:before="120" w:after="120"/>
        <w:ind w:hanging="720"/>
        <w:contextualSpacing w:val="0"/>
        <w:jc w:val="both"/>
        <w:rPr>
          <w:rFonts w:ascii="Times New Roman" w:hAnsi="Times New Roman"/>
          <w:sz w:val="24"/>
          <w:szCs w:val="24"/>
        </w:rPr>
      </w:pPr>
      <w:r w:rsidRPr="00EC7227">
        <w:rPr>
          <w:rFonts w:ascii="Times New Roman" w:hAnsi="Times New Roman"/>
          <w:sz w:val="24"/>
          <w:szCs w:val="24"/>
        </w:rPr>
        <w:t>Önceki dönem</w:t>
      </w:r>
      <w:r>
        <w:rPr>
          <w:rFonts w:ascii="Times New Roman" w:hAnsi="Times New Roman"/>
          <w:sz w:val="24"/>
          <w:szCs w:val="24"/>
        </w:rPr>
        <w:t>e ait</w:t>
      </w:r>
      <w:r w:rsidRPr="00EC7227">
        <w:rPr>
          <w:rFonts w:ascii="Times New Roman" w:hAnsi="Times New Roman"/>
          <w:sz w:val="24"/>
          <w:szCs w:val="24"/>
        </w:rPr>
        <w:t xml:space="preserve"> finansal tabloların önceki denetçi tarafından denetlenmiş olması durumunda, denetçi önceki denetçinin çalışma kâğıtlarını gözden geçirerek açılış bakiyeleriyle ilgili yeterli ve uygun denetim </w:t>
      </w:r>
      <w:r w:rsidRPr="00E75013">
        <w:rPr>
          <w:rFonts w:ascii="Times New Roman" w:hAnsi="Times New Roman"/>
          <w:sz w:val="24"/>
          <w:szCs w:val="24"/>
        </w:rPr>
        <w:t xml:space="preserve">kanıtı </w:t>
      </w:r>
      <w:r w:rsidRPr="0021192A">
        <w:rPr>
          <w:rFonts w:ascii="Times New Roman" w:hAnsi="Times New Roman"/>
          <w:sz w:val="24"/>
          <w:szCs w:val="24"/>
        </w:rPr>
        <w:t>elde edebilir</w:t>
      </w:r>
      <w:r w:rsidRPr="00E75013">
        <w:rPr>
          <w:rFonts w:ascii="Times New Roman" w:hAnsi="Times New Roman"/>
          <w:sz w:val="24"/>
          <w:szCs w:val="24"/>
        </w:rPr>
        <w:t>. Böyle bir</w:t>
      </w:r>
      <w:r w:rsidRPr="00EC7227">
        <w:rPr>
          <w:rFonts w:ascii="Times New Roman" w:hAnsi="Times New Roman"/>
          <w:sz w:val="24"/>
          <w:szCs w:val="24"/>
        </w:rPr>
        <w:t xml:space="preserve"> gözden geçirmenin yeterli ve uygun denetim kanıtı </w:t>
      </w:r>
      <w:r w:rsidRPr="0021192A">
        <w:rPr>
          <w:rFonts w:ascii="Times New Roman" w:hAnsi="Times New Roman"/>
          <w:sz w:val="24"/>
          <w:szCs w:val="24"/>
        </w:rPr>
        <w:t>sağlayıp sağlamaması</w:t>
      </w:r>
      <w:r w:rsidRPr="00E75013">
        <w:rPr>
          <w:rFonts w:ascii="Times New Roman" w:hAnsi="Times New Roman"/>
          <w:sz w:val="24"/>
          <w:szCs w:val="24"/>
        </w:rPr>
        <w:t xml:space="preserve"> önceki denetçinin</w:t>
      </w:r>
      <w:r w:rsidRPr="00EC7227">
        <w:rPr>
          <w:rFonts w:ascii="Times New Roman" w:hAnsi="Times New Roman"/>
          <w:sz w:val="24"/>
          <w:szCs w:val="24"/>
        </w:rPr>
        <w:t xml:space="preserve"> mesleki yeterliği ve bağımsızlığından etkilenir.</w:t>
      </w:r>
    </w:p>
    <w:p w:rsidR="00E14BA8" w:rsidRDefault="00E14BA8" w:rsidP="000F4ECC">
      <w:pPr>
        <w:pStyle w:val="ListeParagraf"/>
        <w:numPr>
          <w:ilvl w:val="0"/>
          <w:numId w:val="33"/>
        </w:numPr>
        <w:spacing w:before="120" w:after="120"/>
        <w:ind w:hanging="720"/>
        <w:contextualSpacing w:val="0"/>
        <w:jc w:val="both"/>
        <w:rPr>
          <w:rFonts w:ascii="Times New Roman" w:hAnsi="Times New Roman"/>
          <w:sz w:val="24"/>
          <w:szCs w:val="24"/>
        </w:rPr>
      </w:pPr>
      <w:r w:rsidRPr="00EC7227">
        <w:rPr>
          <w:rFonts w:ascii="Times New Roman" w:hAnsi="Times New Roman"/>
          <w:sz w:val="24"/>
          <w:szCs w:val="24"/>
        </w:rPr>
        <w:lastRenderedPageBreak/>
        <w:t xml:space="preserve">İlgili etik </w:t>
      </w:r>
      <w:r>
        <w:rPr>
          <w:rFonts w:ascii="Times New Roman" w:hAnsi="Times New Roman"/>
          <w:sz w:val="24"/>
          <w:szCs w:val="24"/>
        </w:rPr>
        <w:t xml:space="preserve">hükümler </w:t>
      </w:r>
      <w:r w:rsidRPr="00EC7227">
        <w:rPr>
          <w:rFonts w:ascii="Times New Roman" w:hAnsi="Times New Roman"/>
          <w:sz w:val="24"/>
          <w:szCs w:val="24"/>
        </w:rPr>
        <w:t xml:space="preserve">ve mesleki </w:t>
      </w:r>
      <w:r>
        <w:rPr>
          <w:rFonts w:ascii="Times New Roman" w:hAnsi="Times New Roman"/>
          <w:sz w:val="24"/>
          <w:szCs w:val="24"/>
        </w:rPr>
        <w:t>yükümlülükler</w:t>
      </w:r>
      <w:r w:rsidRPr="00EC7227">
        <w:rPr>
          <w:rFonts w:ascii="Times New Roman" w:hAnsi="Times New Roman"/>
          <w:sz w:val="24"/>
          <w:szCs w:val="24"/>
        </w:rPr>
        <w:t xml:space="preserve"> </w:t>
      </w:r>
      <w:r>
        <w:rPr>
          <w:rFonts w:ascii="Times New Roman" w:hAnsi="Times New Roman"/>
          <w:sz w:val="24"/>
          <w:szCs w:val="24"/>
        </w:rPr>
        <w:t>cari dönem</w:t>
      </w:r>
      <w:r w:rsidRPr="0025360F">
        <w:rPr>
          <w:rFonts w:ascii="Times New Roman" w:hAnsi="Times New Roman"/>
          <w:sz w:val="24"/>
          <w:szCs w:val="24"/>
        </w:rPr>
        <w:t xml:space="preserve"> denetçi</w:t>
      </w:r>
      <w:r>
        <w:rPr>
          <w:rFonts w:ascii="Times New Roman" w:hAnsi="Times New Roman"/>
          <w:sz w:val="24"/>
          <w:szCs w:val="24"/>
        </w:rPr>
        <w:t>si</w:t>
      </w:r>
      <w:r w:rsidRPr="0025360F">
        <w:rPr>
          <w:rFonts w:ascii="Times New Roman" w:hAnsi="Times New Roman"/>
          <w:sz w:val="24"/>
          <w:szCs w:val="24"/>
        </w:rPr>
        <w:t>nin,</w:t>
      </w:r>
      <w:r w:rsidRPr="00EC7227">
        <w:rPr>
          <w:rFonts w:ascii="Times New Roman" w:hAnsi="Times New Roman"/>
          <w:sz w:val="24"/>
          <w:szCs w:val="24"/>
        </w:rPr>
        <w:t xml:space="preserve"> önceki denetçiyle </w:t>
      </w:r>
      <w:r>
        <w:rPr>
          <w:rFonts w:ascii="Times New Roman" w:hAnsi="Times New Roman"/>
          <w:sz w:val="24"/>
          <w:szCs w:val="24"/>
        </w:rPr>
        <w:t>kuracağı</w:t>
      </w:r>
      <w:r w:rsidRPr="00EC7227">
        <w:rPr>
          <w:rFonts w:ascii="Times New Roman" w:hAnsi="Times New Roman"/>
          <w:sz w:val="24"/>
          <w:szCs w:val="24"/>
        </w:rPr>
        <w:t xml:space="preserve"> iletişimde rehberlik sağlar.</w:t>
      </w:r>
    </w:p>
    <w:p w:rsidR="00E14BA8" w:rsidRPr="006E1A44" w:rsidRDefault="00E14BA8" w:rsidP="000F4ECC">
      <w:pPr>
        <w:pStyle w:val="ListeParagraf"/>
        <w:numPr>
          <w:ilvl w:val="0"/>
          <w:numId w:val="33"/>
        </w:numPr>
        <w:spacing w:before="120" w:after="120"/>
        <w:ind w:hanging="720"/>
        <w:contextualSpacing w:val="0"/>
        <w:jc w:val="both"/>
        <w:rPr>
          <w:rFonts w:ascii="Times New Roman" w:hAnsi="Times New Roman"/>
          <w:sz w:val="24"/>
          <w:szCs w:val="24"/>
        </w:rPr>
      </w:pPr>
      <w:r w:rsidRPr="002070AB">
        <w:rPr>
          <w:rFonts w:ascii="Times New Roman" w:hAnsi="Times New Roman"/>
          <w:sz w:val="24"/>
          <w:szCs w:val="24"/>
        </w:rPr>
        <w:t xml:space="preserve">Dönen varlıklar ve kısa vadeli </w:t>
      </w:r>
      <w:r w:rsidRPr="008B0C26">
        <w:rPr>
          <w:rFonts w:ascii="Times New Roman" w:hAnsi="Times New Roman"/>
          <w:sz w:val="24"/>
          <w:szCs w:val="24"/>
        </w:rPr>
        <w:t>yükümlülükler</w:t>
      </w:r>
      <w:r w:rsidRPr="002070AB">
        <w:rPr>
          <w:rFonts w:ascii="Times New Roman" w:hAnsi="Times New Roman"/>
          <w:sz w:val="24"/>
          <w:szCs w:val="24"/>
        </w:rPr>
        <w:t xml:space="preserve"> için, cari dönemde uygulanan denetim prosedürlerinin bir parçası olarak açılış bakiyeleriyle </w:t>
      </w:r>
      <w:r w:rsidRPr="00E75013">
        <w:rPr>
          <w:rFonts w:ascii="Times New Roman" w:hAnsi="Times New Roman"/>
          <w:sz w:val="24"/>
          <w:szCs w:val="24"/>
        </w:rPr>
        <w:t xml:space="preserve">ilgili </w:t>
      </w:r>
      <w:r w:rsidRPr="0021192A">
        <w:rPr>
          <w:rFonts w:ascii="Times New Roman" w:hAnsi="Times New Roman"/>
          <w:sz w:val="24"/>
          <w:szCs w:val="24"/>
        </w:rPr>
        <w:t>bazı denetim kanıtları</w:t>
      </w:r>
      <w:r w:rsidRPr="002070AB">
        <w:rPr>
          <w:rFonts w:ascii="Times New Roman" w:hAnsi="Times New Roman"/>
          <w:sz w:val="24"/>
          <w:szCs w:val="24"/>
        </w:rPr>
        <w:t xml:space="preserve"> elde edilebilir.</w:t>
      </w:r>
      <w:r w:rsidRPr="00111CB4">
        <w:rPr>
          <w:rFonts w:ascii="Times New Roman" w:hAnsi="Times New Roman"/>
          <w:sz w:val="24"/>
          <w:szCs w:val="24"/>
        </w:rPr>
        <w:t xml:space="preserve"> Örneğin, </w:t>
      </w:r>
      <w:r w:rsidRPr="0021192A">
        <w:rPr>
          <w:rFonts w:ascii="Times New Roman" w:hAnsi="Times New Roman"/>
          <w:sz w:val="24"/>
          <w:szCs w:val="24"/>
        </w:rPr>
        <w:t xml:space="preserve">ticari alacaklar (ticari borçlar) hesaplarının açılış bakiyelerinin </w:t>
      </w:r>
      <w:r w:rsidRPr="00E75013">
        <w:rPr>
          <w:rFonts w:ascii="Times New Roman" w:hAnsi="Times New Roman"/>
          <w:sz w:val="24"/>
          <w:szCs w:val="24"/>
        </w:rPr>
        <w:t xml:space="preserve">cari dönem içinde tahsil edilmesi (ödenmesi), bu bakiyelerin dönem başındaki mevcudiyeti, tamlığı, </w:t>
      </w:r>
      <w:r w:rsidRPr="0021192A">
        <w:rPr>
          <w:rFonts w:ascii="Times New Roman" w:hAnsi="Times New Roman"/>
          <w:sz w:val="24"/>
          <w:szCs w:val="24"/>
        </w:rPr>
        <w:t>hak ve yükümlülükleri ve değerleme</w:t>
      </w:r>
      <w:r w:rsidRPr="00E75013">
        <w:rPr>
          <w:rFonts w:ascii="Times New Roman" w:hAnsi="Times New Roman"/>
          <w:sz w:val="24"/>
          <w:szCs w:val="24"/>
        </w:rPr>
        <w:t xml:space="preserve">si hakkında </w:t>
      </w:r>
      <w:r w:rsidRPr="0021192A">
        <w:rPr>
          <w:rFonts w:ascii="Times New Roman" w:hAnsi="Times New Roman"/>
          <w:sz w:val="24"/>
          <w:szCs w:val="24"/>
        </w:rPr>
        <w:t>bazı denetim kanıtları sağlar.</w:t>
      </w:r>
      <w:r w:rsidRPr="00E75013">
        <w:rPr>
          <w:rFonts w:ascii="Times New Roman" w:hAnsi="Times New Roman"/>
          <w:sz w:val="24"/>
          <w:szCs w:val="24"/>
        </w:rPr>
        <w:t xml:space="preserve"> Ancak stoklar</w:t>
      </w:r>
      <w:r w:rsidRPr="00111CB4">
        <w:rPr>
          <w:rFonts w:ascii="Times New Roman" w:hAnsi="Times New Roman"/>
          <w:sz w:val="24"/>
          <w:szCs w:val="24"/>
        </w:rPr>
        <w:t xml:space="preserve"> söz konusu olduğunda, kapanıştaki stok bakiyesine uygulanan cari dönem denetim prosedürleri, dönem başında mevcut olan stoklarla ilgili çok az denetim kanıtı sağlar. Dolayısıyla, il</w:t>
      </w:r>
      <w:r>
        <w:rPr>
          <w:rFonts w:ascii="Times New Roman" w:hAnsi="Times New Roman"/>
          <w:sz w:val="24"/>
          <w:szCs w:val="24"/>
        </w:rPr>
        <w:t>a</w:t>
      </w:r>
      <w:r w:rsidRPr="00111CB4">
        <w:rPr>
          <w:rFonts w:ascii="Times New Roman" w:hAnsi="Times New Roman"/>
          <w:sz w:val="24"/>
          <w:szCs w:val="24"/>
        </w:rPr>
        <w:t>ve denetim prosedürlerinin uygulanması gerekebilir ve aşağıdakilerden birinin veya daha fazlasının uygulanması, yeterli ve uygun denetim kanıtı sağlayabilir:</w:t>
      </w:r>
    </w:p>
    <w:p w:rsidR="00E14BA8" w:rsidRPr="0025360F" w:rsidRDefault="00E14BA8" w:rsidP="000038FD">
      <w:pPr>
        <w:pStyle w:val="ListeParagraf"/>
        <w:numPr>
          <w:ilvl w:val="0"/>
          <w:numId w:val="2"/>
        </w:numPr>
        <w:spacing w:before="120" w:after="120"/>
        <w:ind w:left="1418" w:hanging="709"/>
        <w:contextualSpacing w:val="0"/>
        <w:jc w:val="both"/>
        <w:rPr>
          <w:rFonts w:ascii="Times New Roman" w:hAnsi="Times New Roman"/>
          <w:sz w:val="24"/>
          <w:szCs w:val="24"/>
        </w:rPr>
      </w:pPr>
      <w:r w:rsidRPr="0021192A">
        <w:rPr>
          <w:rFonts w:ascii="Times New Roman" w:hAnsi="Times New Roman"/>
          <w:sz w:val="24"/>
          <w:szCs w:val="24"/>
        </w:rPr>
        <w:t>Cari dönemde yapılan bir stok sayımının gözlemlenmesi ve sonuçların açılış bakiyeleriyle mutabakatının sağlanması.</w:t>
      </w:r>
    </w:p>
    <w:p w:rsidR="00E14BA8" w:rsidRPr="0025360F" w:rsidRDefault="00E14BA8" w:rsidP="000038FD">
      <w:pPr>
        <w:pStyle w:val="ListeParagraf"/>
        <w:numPr>
          <w:ilvl w:val="0"/>
          <w:numId w:val="2"/>
        </w:numPr>
        <w:spacing w:before="120" w:after="120"/>
        <w:ind w:left="1418" w:hanging="709"/>
        <w:contextualSpacing w:val="0"/>
        <w:jc w:val="both"/>
        <w:rPr>
          <w:rFonts w:ascii="Times New Roman" w:hAnsi="Times New Roman"/>
          <w:sz w:val="24"/>
          <w:szCs w:val="24"/>
        </w:rPr>
      </w:pPr>
      <w:r w:rsidRPr="0025360F">
        <w:rPr>
          <w:rFonts w:ascii="Times New Roman" w:hAnsi="Times New Roman"/>
          <w:sz w:val="24"/>
          <w:szCs w:val="24"/>
        </w:rPr>
        <w:t xml:space="preserve">Stok açılış kalemlerinin </w:t>
      </w:r>
      <w:r w:rsidRPr="0021192A">
        <w:rPr>
          <w:rFonts w:ascii="Times New Roman" w:hAnsi="Times New Roman"/>
          <w:sz w:val="24"/>
          <w:szCs w:val="24"/>
        </w:rPr>
        <w:t>değerlemesi</w:t>
      </w:r>
      <w:r w:rsidRPr="0025360F">
        <w:rPr>
          <w:rFonts w:ascii="Times New Roman" w:hAnsi="Times New Roman"/>
          <w:sz w:val="24"/>
          <w:szCs w:val="24"/>
        </w:rPr>
        <w:t>ne ilişkin denetim prosedürlerinin uygulanması.</w:t>
      </w:r>
    </w:p>
    <w:p w:rsidR="00E14BA8" w:rsidRPr="0025360F" w:rsidRDefault="00E14BA8" w:rsidP="000038FD">
      <w:pPr>
        <w:pStyle w:val="ListeParagraf"/>
        <w:numPr>
          <w:ilvl w:val="0"/>
          <w:numId w:val="2"/>
        </w:numPr>
        <w:spacing w:before="120" w:after="120"/>
        <w:ind w:left="1418" w:hanging="709"/>
        <w:contextualSpacing w:val="0"/>
        <w:jc w:val="both"/>
        <w:rPr>
          <w:rFonts w:ascii="Times New Roman" w:hAnsi="Times New Roman"/>
          <w:sz w:val="24"/>
          <w:szCs w:val="24"/>
        </w:rPr>
      </w:pPr>
      <w:r w:rsidRPr="0025360F">
        <w:rPr>
          <w:rFonts w:ascii="Times New Roman" w:hAnsi="Times New Roman"/>
          <w:sz w:val="24"/>
          <w:szCs w:val="24"/>
        </w:rPr>
        <w:t xml:space="preserve">Brüt kâr ve </w:t>
      </w:r>
      <w:r w:rsidRPr="0021192A">
        <w:rPr>
          <w:rFonts w:ascii="Times New Roman" w:hAnsi="Times New Roman"/>
          <w:sz w:val="24"/>
          <w:szCs w:val="24"/>
        </w:rPr>
        <w:t>hesap kesimi</w:t>
      </w:r>
      <w:r w:rsidRPr="0025360F">
        <w:rPr>
          <w:rFonts w:ascii="Times New Roman" w:hAnsi="Times New Roman"/>
          <w:sz w:val="24"/>
          <w:szCs w:val="24"/>
        </w:rPr>
        <w:t>ne ilişkin denetim prosedürlerinin uygulanması.</w:t>
      </w:r>
    </w:p>
    <w:p w:rsidR="00E14BA8" w:rsidRPr="006E1A44" w:rsidRDefault="00E14BA8" w:rsidP="000F4ECC">
      <w:pPr>
        <w:pStyle w:val="ListeParagraf"/>
        <w:numPr>
          <w:ilvl w:val="0"/>
          <w:numId w:val="33"/>
        </w:numPr>
        <w:spacing w:before="120" w:after="120"/>
        <w:ind w:hanging="720"/>
        <w:contextualSpacing w:val="0"/>
        <w:jc w:val="both"/>
        <w:rPr>
          <w:rFonts w:ascii="Times New Roman" w:hAnsi="Times New Roman"/>
          <w:sz w:val="24"/>
          <w:szCs w:val="24"/>
        </w:rPr>
      </w:pPr>
      <w:r w:rsidRPr="006E1A44">
        <w:rPr>
          <w:rFonts w:ascii="Times New Roman" w:hAnsi="Times New Roman"/>
          <w:sz w:val="24"/>
          <w:szCs w:val="24"/>
        </w:rPr>
        <w:t xml:space="preserve">Duran varlıklar ve uzun vadeli </w:t>
      </w:r>
      <w:r w:rsidRPr="008B0C26">
        <w:rPr>
          <w:rFonts w:ascii="Times New Roman" w:hAnsi="Times New Roman"/>
          <w:sz w:val="24"/>
          <w:szCs w:val="24"/>
        </w:rPr>
        <w:t>yükümlülükler</w:t>
      </w:r>
      <w:r>
        <w:rPr>
          <w:rFonts w:ascii="Times New Roman" w:hAnsi="Times New Roman"/>
          <w:sz w:val="24"/>
          <w:szCs w:val="24"/>
        </w:rPr>
        <w:t xml:space="preserve"> </w:t>
      </w:r>
      <w:r w:rsidRPr="006E1A44">
        <w:rPr>
          <w:rFonts w:ascii="Times New Roman" w:hAnsi="Times New Roman"/>
          <w:sz w:val="24"/>
          <w:szCs w:val="24"/>
        </w:rPr>
        <w:t xml:space="preserve">için (maddi duran varlıklar, yatırımlar ve uzun vadeli borçlar gibi) muhasebe kayıtları ve açılış bakiyelerinin dayanağını oluşturan diğer bilgiler incelenerek </w:t>
      </w:r>
      <w:r w:rsidRPr="0021192A">
        <w:rPr>
          <w:rFonts w:ascii="Times New Roman" w:hAnsi="Times New Roman"/>
          <w:sz w:val="24"/>
          <w:szCs w:val="24"/>
        </w:rPr>
        <w:t>denetim kanıtları elde edilebilir. Belirli durumlarda denetçi, üçüncü taraflardan teyit almak suretiyle açılış kayıtlarına ilişkin denetim kanıtları elde edebilir (</w:t>
      </w:r>
      <w:r w:rsidRPr="008051C3">
        <w:rPr>
          <w:rFonts w:ascii="Times New Roman" w:hAnsi="Times New Roman"/>
          <w:sz w:val="24"/>
          <w:szCs w:val="24"/>
        </w:rPr>
        <w:t>örneğin uzun</w:t>
      </w:r>
      <w:r w:rsidRPr="006E1A44">
        <w:rPr>
          <w:rFonts w:ascii="Times New Roman" w:hAnsi="Times New Roman"/>
          <w:sz w:val="24"/>
          <w:szCs w:val="24"/>
        </w:rPr>
        <w:t xml:space="preserve"> vadel</w:t>
      </w:r>
      <w:r>
        <w:rPr>
          <w:rFonts w:ascii="Times New Roman" w:hAnsi="Times New Roman"/>
          <w:sz w:val="24"/>
          <w:szCs w:val="24"/>
        </w:rPr>
        <w:t>i borçlar ve yatırımlar için</w:t>
      </w:r>
      <w:r w:rsidRPr="006E1A44">
        <w:rPr>
          <w:rFonts w:ascii="Times New Roman" w:hAnsi="Times New Roman"/>
          <w:sz w:val="24"/>
          <w:szCs w:val="24"/>
        </w:rPr>
        <w:t>). Diğer durumlarda ise denetçinin il</w:t>
      </w:r>
      <w:r>
        <w:rPr>
          <w:rFonts w:ascii="Times New Roman" w:hAnsi="Times New Roman"/>
          <w:sz w:val="24"/>
          <w:szCs w:val="24"/>
        </w:rPr>
        <w:t>a</w:t>
      </w:r>
      <w:r w:rsidRPr="006E1A44">
        <w:rPr>
          <w:rFonts w:ascii="Times New Roman" w:hAnsi="Times New Roman"/>
          <w:sz w:val="24"/>
          <w:szCs w:val="24"/>
        </w:rPr>
        <w:t>ve denetim prosedürleri uygulaması gerekebilir.</w:t>
      </w:r>
    </w:p>
    <w:p w:rsidR="00E14BA8" w:rsidRPr="00A82BB4" w:rsidRDefault="00E14BA8" w:rsidP="000F4ECC">
      <w:pPr>
        <w:spacing w:before="120" w:after="120"/>
        <w:jc w:val="both"/>
        <w:rPr>
          <w:rFonts w:ascii="Times New Roman" w:hAnsi="Times New Roman"/>
          <w:b/>
          <w:sz w:val="24"/>
          <w:szCs w:val="24"/>
        </w:rPr>
      </w:pPr>
      <w:r w:rsidRPr="00A82BB4">
        <w:rPr>
          <w:rFonts w:ascii="Times New Roman" w:hAnsi="Times New Roman"/>
          <w:b/>
          <w:sz w:val="24"/>
          <w:szCs w:val="24"/>
        </w:rPr>
        <w:t>Denetim Sonuçları ve Raporlama</w:t>
      </w:r>
    </w:p>
    <w:p w:rsidR="00E14BA8" w:rsidRPr="00A82BB4" w:rsidRDefault="00E14BA8" w:rsidP="000F4ECC">
      <w:pPr>
        <w:spacing w:before="120" w:after="120"/>
        <w:jc w:val="both"/>
        <w:rPr>
          <w:rFonts w:ascii="Times New Roman" w:hAnsi="Times New Roman"/>
          <w:sz w:val="24"/>
          <w:szCs w:val="24"/>
        </w:rPr>
      </w:pPr>
      <w:r w:rsidRPr="00A82BB4">
        <w:rPr>
          <w:rFonts w:ascii="Times New Roman" w:hAnsi="Times New Roman"/>
          <w:i/>
          <w:sz w:val="24"/>
          <w:szCs w:val="24"/>
        </w:rPr>
        <w:t>Açılış Bakiyeleri</w:t>
      </w:r>
      <w:r w:rsidRPr="00A82BB4">
        <w:rPr>
          <w:rFonts w:ascii="Times New Roman" w:hAnsi="Times New Roman"/>
          <w:sz w:val="24"/>
          <w:szCs w:val="24"/>
        </w:rPr>
        <w:t xml:space="preserve"> (Bakınız: 10 uncu </w:t>
      </w:r>
      <w:r>
        <w:rPr>
          <w:rFonts w:ascii="Times New Roman" w:hAnsi="Times New Roman"/>
          <w:sz w:val="24"/>
          <w:szCs w:val="24"/>
        </w:rPr>
        <w:t>p</w:t>
      </w:r>
      <w:r w:rsidRPr="00A82BB4">
        <w:rPr>
          <w:rFonts w:ascii="Times New Roman" w:hAnsi="Times New Roman"/>
          <w:sz w:val="24"/>
          <w:szCs w:val="24"/>
        </w:rPr>
        <w:t>aragraf)</w:t>
      </w:r>
    </w:p>
    <w:p w:rsidR="00E14BA8" w:rsidRPr="00C51F47" w:rsidRDefault="00E14BA8" w:rsidP="0021192A">
      <w:pPr>
        <w:pStyle w:val="ListeParagraf"/>
        <w:numPr>
          <w:ilvl w:val="0"/>
          <w:numId w:val="33"/>
        </w:numPr>
        <w:spacing w:before="120" w:after="120"/>
        <w:ind w:left="708" w:hanging="720"/>
        <w:contextualSpacing w:val="0"/>
        <w:jc w:val="both"/>
        <w:rPr>
          <w:rFonts w:ascii="Times New Roman" w:hAnsi="Times New Roman"/>
          <w:i/>
          <w:sz w:val="24"/>
          <w:szCs w:val="24"/>
        </w:rPr>
      </w:pPr>
      <w:r w:rsidRPr="00C51F47">
        <w:rPr>
          <w:rFonts w:ascii="Times New Roman" w:hAnsi="Times New Roman"/>
          <w:sz w:val="24"/>
          <w:szCs w:val="24"/>
        </w:rPr>
        <w:t xml:space="preserve">BDS 705, finansal tablolara ilişkin olumlu görüş dışında bir görüş verilmesiyle sonuçlanabilecek durumlara, içinde bulunulan şartlar altında uygun olan görüş türüne ve böyle bir durum olduğu zaman düzenlenecek olan denetçi raporunun içeriğine ilişkin hüküm ve açıklamalar içerir. Açılış bakiyelerine ilişkin yeterli ve uygun denetim kanıtı elde edememesi durumunda denetçi, denetçi raporunda </w:t>
      </w:r>
      <w:r>
        <w:rPr>
          <w:rFonts w:ascii="Times New Roman" w:hAnsi="Times New Roman"/>
          <w:sz w:val="24"/>
          <w:szCs w:val="24"/>
        </w:rPr>
        <w:t>i</w:t>
      </w:r>
      <w:r w:rsidRPr="00C51F47">
        <w:rPr>
          <w:rFonts w:ascii="Times New Roman" w:hAnsi="Times New Roman"/>
          <w:sz w:val="24"/>
          <w:szCs w:val="24"/>
        </w:rPr>
        <w:t>çinde bulunulan şartlara uygun olarak sınırlı olumlu görüş (şartlı görüş) verir veya görüş vermekten kaçınır.</w:t>
      </w:r>
      <w:r>
        <w:rPr>
          <w:rFonts w:ascii="Times New Roman" w:hAnsi="Times New Roman"/>
          <w:sz w:val="24"/>
          <w:szCs w:val="24"/>
        </w:rPr>
        <w:t xml:space="preserve"> </w:t>
      </w:r>
      <w:r w:rsidRPr="00C51F47">
        <w:rPr>
          <w:rFonts w:ascii="Times New Roman" w:hAnsi="Times New Roman"/>
          <w:sz w:val="24"/>
          <w:szCs w:val="24"/>
        </w:rPr>
        <w:t xml:space="preserve">Ekte, denetçi raporunda </w:t>
      </w:r>
      <w:r>
        <w:rPr>
          <w:rFonts w:ascii="Times New Roman" w:hAnsi="Times New Roman"/>
          <w:sz w:val="24"/>
          <w:szCs w:val="24"/>
        </w:rPr>
        <w:t xml:space="preserve">sınırlı </w:t>
      </w:r>
      <w:r w:rsidRPr="00C51F47">
        <w:rPr>
          <w:rFonts w:ascii="Times New Roman" w:hAnsi="Times New Roman"/>
          <w:sz w:val="24"/>
          <w:szCs w:val="24"/>
        </w:rPr>
        <w:t xml:space="preserve">olumlu görüş </w:t>
      </w:r>
      <w:r>
        <w:rPr>
          <w:rFonts w:ascii="Times New Roman" w:hAnsi="Times New Roman"/>
          <w:sz w:val="24"/>
          <w:szCs w:val="24"/>
        </w:rPr>
        <w:t>verilmesine ilişkin bir örnek</w:t>
      </w:r>
      <w:r w:rsidRPr="00C51F47">
        <w:rPr>
          <w:rFonts w:ascii="Times New Roman" w:hAnsi="Times New Roman"/>
          <w:sz w:val="24"/>
          <w:szCs w:val="24"/>
        </w:rPr>
        <w:t xml:space="preserve"> yer almaktadır.</w:t>
      </w:r>
    </w:p>
    <w:p w:rsidR="00E14BA8" w:rsidRPr="00111CB4" w:rsidRDefault="00E14BA8" w:rsidP="000F4ECC">
      <w:pPr>
        <w:spacing w:before="120" w:after="120"/>
        <w:jc w:val="both"/>
        <w:rPr>
          <w:rFonts w:ascii="Times New Roman" w:hAnsi="Times New Roman"/>
          <w:sz w:val="24"/>
          <w:szCs w:val="24"/>
        </w:rPr>
      </w:pPr>
      <w:r w:rsidRPr="00111CB4">
        <w:rPr>
          <w:rFonts w:ascii="Times New Roman" w:hAnsi="Times New Roman"/>
          <w:i/>
          <w:sz w:val="24"/>
          <w:szCs w:val="24"/>
        </w:rPr>
        <w:t>Önceki Denetçi Raporunda Olumlu Görüş Dışında Bir Görüşün Yer Alması</w:t>
      </w:r>
      <w:r w:rsidRPr="00111CB4">
        <w:rPr>
          <w:rFonts w:ascii="Times New Roman" w:hAnsi="Times New Roman"/>
          <w:sz w:val="24"/>
          <w:szCs w:val="24"/>
        </w:rPr>
        <w:t xml:space="preserve"> (Bakınız: 13 üncü paragraf)</w:t>
      </w:r>
    </w:p>
    <w:p w:rsidR="00E14BA8" w:rsidRPr="00C51F47" w:rsidRDefault="00E14BA8" w:rsidP="000F4ECC">
      <w:pPr>
        <w:pStyle w:val="ListeParagraf"/>
        <w:numPr>
          <w:ilvl w:val="0"/>
          <w:numId w:val="33"/>
        </w:numPr>
        <w:spacing w:before="120" w:after="120"/>
        <w:ind w:hanging="720"/>
        <w:contextualSpacing w:val="0"/>
        <w:jc w:val="both"/>
        <w:rPr>
          <w:rFonts w:ascii="Times New Roman" w:hAnsi="Times New Roman"/>
          <w:b/>
          <w:sz w:val="24"/>
          <w:szCs w:val="24"/>
        </w:rPr>
      </w:pPr>
      <w:r w:rsidRPr="00C51F47">
        <w:rPr>
          <w:rFonts w:ascii="Times New Roman" w:hAnsi="Times New Roman"/>
          <w:sz w:val="24"/>
          <w:szCs w:val="24"/>
        </w:rPr>
        <w:t xml:space="preserve">Bazı durumlarda, önceki denetçinin olumlu görüş dışında bir görüş vermesi cari döneme ait finansal tablolardaki görüşle ilgili olmayabilir ve bu tablolardaki görüş açısından önemli olmayabilir.  Örneğin, önceki dönemde kapsama ilişkin bir sınırlama varsa ve kapsam sınırlamasına yol açan sorun cari dönemde çözülmüşse böyle bir durum ortaya çıkabilir. </w:t>
      </w:r>
    </w:p>
    <w:p w:rsidR="00E14BA8" w:rsidRPr="00FF2E5C" w:rsidRDefault="00E14BA8" w:rsidP="00C51F47">
      <w:pPr>
        <w:jc w:val="right"/>
        <w:rPr>
          <w:rFonts w:ascii="Times New Roman" w:hAnsi="Times New Roman"/>
          <w:b/>
          <w:sz w:val="24"/>
          <w:szCs w:val="24"/>
        </w:rPr>
      </w:pPr>
      <w:r w:rsidRPr="00FF2E5C">
        <w:rPr>
          <w:rFonts w:ascii="Times New Roman" w:hAnsi="Times New Roman"/>
          <w:b/>
          <w:sz w:val="24"/>
          <w:szCs w:val="24"/>
        </w:rPr>
        <w:lastRenderedPageBreak/>
        <w:t xml:space="preserve">Ek </w:t>
      </w:r>
    </w:p>
    <w:p w:rsidR="00E14BA8" w:rsidRPr="004B7EAB" w:rsidRDefault="00E14BA8" w:rsidP="006D154D">
      <w:pPr>
        <w:spacing w:before="120" w:after="120"/>
        <w:jc w:val="right"/>
        <w:rPr>
          <w:rFonts w:ascii="Times New Roman" w:hAnsi="Times New Roman"/>
          <w:sz w:val="24"/>
          <w:szCs w:val="24"/>
        </w:rPr>
      </w:pPr>
      <w:r w:rsidRPr="004B7EAB">
        <w:rPr>
          <w:rFonts w:ascii="Times New Roman" w:hAnsi="Times New Roman"/>
          <w:sz w:val="24"/>
          <w:szCs w:val="24"/>
        </w:rPr>
        <w:t xml:space="preserve">   (</w:t>
      </w:r>
      <w:r>
        <w:rPr>
          <w:rFonts w:ascii="Times New Roman" w:hAnsi="Times New Roman"/>
          <w:sz w:val="24"/>
          <w:szCs w:val="24"/>
        </w:rPr>
        <w:t xml:space="preserve">Bakınız: </w:t>
      </w:r>
      <w:r w:rsidRPr="004B7EAB">
        <w:rPr>
          <w:rFonts w:ascii="Times New Roman" w:hAnsi="Times New Roman"/>
          <w:sz w:val="24"/>
          <w:szCs w:val="24"/>
        </w:rPr>
        <w:t xml:space="preserve">A8 </w:t>
      </w:r>
      <w:r>
        <w:rPr>
          <w:rFonts w:ascii="Times New Roman" w:hAnsi="Times New Roman"/>
          <w:sz w:val="24"/>
          <w:szCs w:val="24"/>
        </w:rPr>
        <w:t>p</w:t>
      </w:r>
      <w:r w:rsidRPr="004B7EAB">
        <w:rPr>
          <w:rFonts w:ascii="Times New Roman" w:hAnsi="Times New Roman"/>
          <w:sz w:val="24"/>
          <w:szCs w:val="24"/>
        </w:rPr>
        <w:t>aragrafı)</w:t>
      </w:r>
    </w:p>
    <w:p w:rsidR="00E14BA8" w:rsidRPr="00FF2E5C" w:rsidRDefault="00E14BA8" w:rsidP="006D154D">
      <w:pPr>
        <w:spacing w:before="120" w:after="120"/>
        <w:jc w:val="both"/>
        <w:rPr>
          <w:rFonts w:ascii="Times New Roman" w:hAnsi="Times New Roman"/>
          <w:b/>
          <w:sz w:val="24"/>
          <w:szCs w:val="24"/>
        </w:rPr>
      </w:pPr>
      <w:r w:rsidRPr="00FF2E5C">
        <w:rPr>
          <w:rFonts w:ascii="Times New Roman" w:hAnsi="Times New Roman"/>
          <w:b/>
          <w:sz w:val="24"/>
          <w:szCs w:val="24"/>
        </w:rPr>
        <w:t>Denetçi Raporu</w:t>
      </w:r>
      <w:r>
        <w:rPr>
          <w:rFonts w:ascii="Times New Roman" w:hAnsi="Times New Roman"/>
          <w:b/>
          <w:sz w:val="24"/>
          <w:szCs w:val="24"/>
        </w:rPr>
        <w:t>nda</w:t>
      </w:r>
      <w:r w:rsidRPr="00FF2E5C">
        <w:rPr>
          <w:rFonts w:ascii="Times New Roman" w:hAnsi="Times New Roman"/>
          <w:b/>
          <w:sz w:val="24"/>
          <w:szCs w:val="24"/>
        </w:rPr>
        <w:t xml:space="preserve"> </w:t>
      </w:r>
      <w:r>
        <w:rPr>
          <w:rFonts w:ascii="Times New Roman" w:hAnsi="Times New Roman"/>
          <w:b/>
          <w:sz w:val="24"/>
          <w:szCs w:val="24"/>
        </w:rPr>
        <w:t xml:space="preserve">Sınırlı </w:t>
      </w:r>
      <w:r w:rsidRPr="00FF2E5C">
        <w:rPr>
          <w:rFonts w:ascii="Times New Roman" w:hAnsi="Times New Roman"/>
          <w:b/>
          <w:sz w:val="24"/>
          <w:szCs w:val="24"/>
        </w:rPr>
        <w:t xml:space="preserve">Olumlu Görüş </w:t>
      </w:r>
      <w:r>
        <w:rPr>
          <w:rFonts w:ascii="Times New Roman" w:hAnsi="Times New Roman"/>
          <w:b/>
          <w:sz w:val="24"/>
          <w:szCs w:val="24"/>
        </w:rPr>
        <w:t>Verilmesine İlişkin Örnek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14BA8" w:rsidRPr="009A62E2" w:rsidTr="009A62E2">
        <w:trPr>
          <w:trHeight w:val="3155"/>
        </w:trPr>
        <w:tc>
          <w:tcPr>
            <w:tcW w:w="9212" w:type="dxa"/>
          </w:tcPr>
          <w:p w:rsidR="00E14BA8" w:rsidRPr="009A62E2" w:rsidRDefault="00E14BA8" w:rsidP="009A62E2">
            <w:pPr>
              <w:spacing w:before="120" w:after="120"/>
              <w:jc w:val="both"/>
              <w:rPr>
                <w:rFonts w:ascii="Times New Roman" w:hAnsi="Times New Roman"/>
                <w:b/>
                <w:sz w:val="24"/>
                <w:szCs w:val="24"/>
                <w:u w:val="single"/>
                <w:lang w:eastAsia="en-US"/>
              </w:rPr>
            </w:pPr>
            <w:r w:rsidRPr="009A62E2">
              <w:rPr>
                <w:rFonts w:ascii="Times New Roman" w:hAnsi="Times New Roman"/>
                <w:b/>
                <w:sz w:val="24"/>
                <w:szCs w:val="24"/>
                <w:u w:val="single"/>
                <w:lang w:eastAsia="en-US"/>
              </w:rPr>
              <w:t xml:space="preserve">Örnek 1: Sınırlı Olumlu Görüş </w:t>
            </w:r>
          </w:p>
          <w:p w:rsidR="00E14BA8" w:rsidRPr="009A62E2" w:rsidRDefault="00E14BA8" w:rsidP="009A62E2">
            <w:pPr>
              <w:spacing w:before="120" w:after="120"/>
              <w:jc w:val="both"/>
              <w:rPr>
                <w:rFonts w:ascii="Times New Roman" w:hAnsi="Times New Roman"/>
                <w:b/>
                <w:sz w:val="24"/>
                <w:szCs w:val="24"/>
                <w:lang w:eastAsia="en-US"/>
              </w:rPr>
            </w:pPr>
            <w:r w:rsidRPr="009A62E2">
              <w:rPr>
                <w:rFonts w:ascii="Times New Roman" w:hAnsi="Times New Roman"/>
                <w:b/>
                <w:sz w:val="24"/>
                <w:szCs w:val="24"/>
                <w:lang w:eastAsia="en-US"/>
              </w:rPr>
              <w:t>A8 paragrafında belirtilen durumlar aşağıdakileri içerir:</w:t>
            </w:r>
          </w:p>
          <w:p w:rsidR="00E14BA8" w:rsidRPr="009A62E2" w:rsidRDefault="00E14BA8" w:rsidP="009A62E2">
            <w:pPr>
              <w:pStyle w:val="ListeParagraf"/>
              <w:numPr>
                <w:ilvl w:val="0"/>
                <w:numId w:val="8"/>
              </w:numPr>
              <w:spacing w:before="120" w:after="120"/>
              <w:ind w:left="567" w:hanging="567"/>
              <w:contextualSpacing w:val="0"/>
              <w:jc w:val="both"/>
              <w:rPr>
                <w:rFonts w:ascii="Times New Roman" w:hAnsi="Times New Roman"/>
                <w:b/>
                <w:sz w:val="24"/>
                <w:szCs w:val="24"/>
                <w:lang w:eastAsia="en-US"/>
              </w:rPr>
            </w:pPr>
            <w:r w:rsidRPr="009A62E2">
              <w:rPr>
                <w:rFonts w:ascii="Times New Roman" w:hAnsi="Times New Roman"/>
                <w:b/>
                <w:sz w:val="24"/>
                <w:szCs w:val="24"/>
                <w:lang w:eastAsia="en-US"/>
              </w:rPr>
              <w:t>Denetçi, cari dönemin başında fiziki stok sayımını gözlemlememiş ve stokların açılış bakiyelerine ilişkin yeterli ve uygun denetim kanıtı elde edememiştir.</w:t>
            </w:r>
          </w:p>
          <w:p w:rsidR="00E14BA8" w:rsidRPr="009A62E2" w:rsidRDefault="00E14BA8" w:rsidP="009A62E2">
            <w:pPr>
              <w:pStyle w:val="ListeParagraf"/>
              <w:numPr>
                <w:ilvl w:val="0"/>
                <w:numId w:val="7"/>
              </w:numPr>
              <w:spacing w:before="120" w:after="120"/>
              <w:ind w:left="567" w:hanging="567"/>
              <w:contextualSpacing w:val="0"/>
              <w:jc w:val="both"/>
              <w:rPr>
                <w:rFonts w:ascii="Times New Roman" w:hAnsi="Times New Roman"/>
                <w:b/>
                <w:sz w:val="24"/>
                <w:szCs w:val="24"/>
                <w:lang w:eastAsia="en-US"/>
              </w:rPr>
            </w:pPr>
            <w:r w:rsidRPr="009A62E2">
              <w:rPr>
                <w:rFonts w:ascii="Times New Roman" w:hAnsi="Times New Roman"/>
                <w:b/>
                <w:sz w:val="24"/>
                <w:szCs w:val="24"/>
                <w:lang w:eastAsia="en-US"/>
              </w:rPr>
              <w:t>Stokların açılış bakiyelerine ilişkin yeterli ve uygun denetim kanıtının elde edilememesinin muhtemel etkileri önemli olmakla birlikte, işletmenin finansal performansı ve nakit akışları üzerinde yaygın bir etkiye sahip değildir.</w:t>
            </w:r>
            <w:r w:rsidRPr="009A62E2">
              <w:rPr>
                <w:rStyle w:val="DipnotBavurusu"/>
                <w:rFonts w:ascii="Times New Roman" w:hAnsi="Times New Roman"/>
                <w:b/>
                <w:sz w:val="24"/>
                <w:szCs w:val="24"/>
                <w:lang w:eastAsia="en-US"/>
              </w:rPr>
              <w:footnoteReference w:customMarkFollows="1" w:id="6"/>
              <w:t>1</w:t>
            </w:r>
          </w:p>
          <w:p w:rsidR="00E14BA8" w:rsidRPr="009A62E2" w:rsidRDefault="00E14BA8" w:rsidP="009A62E2">
            <w:pPr>
              <w:pStyle w:val="ListeParagraf"/>
              <w:numPr>
                <w:ilvl w:val="0"/>
                <w:numId w:val="7"/>
              </w:numPr>
              <w:spacing w:before="120" w:after="120"/>
              <w:ind w:left="567" w:hanging="567"/>
              <w:contextualSpacing w:val="0"/>
              <w:jc w:val="both"/>
              <w:rPr>
                <w:rFonts w:ascii="Times New Roman" w:hAnsi="Times New Roman"/>
                <w:b/>
                <w:sz w:val="24"/>
                <w:szCs w:val="24"/>
                <w:lang w:eastAsia="en-US"/>
              </w:rPr>
            </w:pPr>
            <w:r w:rsidRPr="009A62E2">
              <w:rPr>
                <w:rFonts w:ascii="Times New Roman" w:hAnsi="Times New Roman"/>
                <w:b/>
                <w:sz w:val="24"/>
                <w:szCs w:val="24"/>
                <w:lang w:eastAsia="en-US"/>
              </w:rPr>
              <w:t>Dönem sonunda finansal durum gerçeğe uygun bir biçimde sunulmuştur.</w:t>
            </w:r>
          </w:p>
          <w:p w:rsidR="00E14BA8" w:rsidRPr="009A62E2" w:rsidRDefault="00E14BA8" w:rsidP="009A62E2">
            <w:pPr>
              <w:pStyle w:val="ListeParagraf"/>
              <w:numPr>
                <w:ilvl w:val="0"/>
                <w:numId w:val="7"/>
              </w:numPr>
              <w:spacing w:before="120" w:after="120"/>
              <w:ind w:left="567" w:hanging="567"/>
              <w:contextualSpacing w:val="0"/>
              <w:jc w:val="both"/>
              <w:rPr>
                <w:rFonts w:ascii="Times New Roman" w:hAnsi="Times New Roman"/>
                <w:b/>
                <w:sz w:val="24"/>
                <w:szCs w:val="24"/>
              </w:rPr>
            </w:pPr>
            <w:r w:rsidRPr="009A62E2">
              <w:rPr>
                <w:rFonts w:ascii="Times New Roman" w:hAnsi="Times New Roman"/>
                <w:b/>
                <w:sz w:val="24"/>
                <w:szCs w:val="24"/>
                <w:lang w:eastAsia="en-US"/>
              </w:rPr>
              <w:t>Mevzuat, denetçinin finansal performansa ve nakit akışlarına ilişkin sınırlı olumlu görüş (şartlı görüş) verirken, finansal duruma ilişkin olumlu görüş vermesini yasaklamaktadır.</w:t>
            </w:r>
          </w:p>
        </w:tc>
      </w:tr>
    </w:tbl>
    <w:p w:rsidR="00E14BA8" w:rsidRPr="00FF2E5C" w:rsidRDefault="00E14BA8" w:rsidP="006D154D">
      <w:pPr>
        <w:spacing w:before="120" w:after="120"/>
        <w:jc w:val="both"/>
        <w:rPr>
          <w:rFonts w:ascii="Times New Roman" w:hAnsi="Times New Roman"/>
          <w:sz w:val="24"/>
          <w:szCs w:val="24"/>
        </w:rPr>
      </w:pPr>
      <w:r>
        <w:rPr>
          <w:rFonts w:ascii="Times New Roman" w:hAnsi="Times New Roman"/>
          <w:sz w:val="24"/>
          <w:szCs w:val="24"/>
        </w:rPr>
        <w:t>Yukarıda belirtilen şartlar çerçevesinde verilecek sınırlı olumlu görüş ve gerekçesine ilişkin örnek aşağıda yer almaktadır:</w:t>
      </w:r>
    </w:p>
    <w:p w:rsidR="00E14BA8" w:rsidRPr="00FF2E5C" w:rsidRDefault="00E14BA8" w:rsidP="006D154D">
      <w:pPr>
        <w:spacing w:before="120" w:after="120"/>
        <w:jc w:val="both"/>
        <w:rPr>
          <w:rFonts w:ascii="Times New Roman" w:hAnsi="Times New Roman"/>
          <w:i/>
          <w:sz w:val="24"/>
          <w:szCs w:val="24"/>
        </w:rPr>
      </w:pPr>
      <w:r w:rsidRPr="00D86D20">
        <w:rPr>
          <w:rFonts w:ascii="Times New Roman" w:hAnsi="Times New Roman"/>
          <w:b/>
          <w:i/>
          <w:sz w:val="24"/>
          <w:szCs w:val="24"/>
        </w:rPr>
        <w:t xml:space="preserve">Sınırlı Olumlu Görüşün </w:t>
      </w:r>
      <w:r>
        <w:rPr>
          <w:rFonts w:ascii="Times New Roman" w:hAnsi="Times New Roman"/>
          <w:b/>
          <w:i/>
          <w:sz w:val="24"/>
          <w:szCs w:val="24"/>
        </w:rPr>
        <w:t>Dayanağı</w:t>
      </w:r>
    </w:p>
    <w:p w:rsidR="00E14BA8" w:rsidRDefault="00E14BA8" w:rsidP="006D154D">
      <w:pPr>
        <w:spacing w:before="120" w:after="120"/>
        <w:jc w:val="both"/>
        <w:rPr>
          <w:rFonts w:ascii="Times New Roman" w:hAnsi="Times New Roman"/>
          <w:sz w:val="24"/>
          <w:szCs w:val="24"/>
        </w:rPr>
      </w:pPr>
      <w:r>
        <w:rPr>
          <w:rFonts w:ascii="Times New Roman" w:hAnsi="Times New Roman"/>
          <w:sz w:val="24"/>
          <w:szCs w:val="24"/>
        </w:rPr>
        <w:t xml:space="preserve">İşletmenin </w:t>
      </w:r>
      <w:r w:rsidRPr="005E5D6A">
        <w:rPr>
          <w:rFonts w:ascii="Times New Roman" w:hAnsi="Times New Roman"/>
          <w:sz w:val="24"/>
          <w:szCs w:val="24"/>
        </w:rPr>
        <w:t>denetçisi</w:t>
      </w:r>
      <w:r>
        <w:rPr>
          <w:rFonts w:ascii="Times New Roman" w:hAnsi="Times New Roman"/>
          <w:sz w:val="24"/>
          <w:szCs w:val="24"/>
        </w:rPr>
        <w:t xml:space="preserve"> olarak,</w:t>
      </w:r>
      <w:r w:rsidRPr="0067336F" w:rsidDel="005C1916">
        <w:rPr>
          <w:rFonts w:ascii="Times New Roman" w:hAnsi="Times New Roman"/>
          <w:sz w:val="24"/>
          <w:szCs w:val="24"/>
        </w:rPr>
        <w:t xml:space="preserve"> </w:t>
      </w:r>
      <w:r>
        <w:rPr>
          <w:rFonts w:ascii="Times New Roman" w:hAnsi="Times New Roman"/>
          <w:sz w:val="24"/>
          <w:szCs w:val="24"/>
        </w:rPr>
        <w:t>d</w:t>
      </w:r>
      <w:r w:rsidRPr="0067336F">
        <w:rPr>
          <w:rFonts w:ascii="Times New Roman" w:hAnsi="Times New Roman"/>
          <w:sz w:val="24"/>
          <w:szCs w:val="24"/>
        </w:rPr>
        <w:t>önem</w:t>
      </w:r>
      <w:r w:rsidRPr="00FF2E5C">
        <w:rPr>
          <w:rFonts w:ascii="Times New Roman" w:hAnsi="Times New Roman"/>
          <w:sz w:val="24"/>
          <w:szCs w:val="24"/>
        </w:rPr>
        <w:t xml:space="preserve"> başındaki fiziki stok sayımı</w:t>
      </w:r>
      <w:r>
        <w:rPr>
          <w:rFonts w:ascii="Times New Roman" w:hAnsi="Times New Roman"/>
          <w:sz w:val="24"/>
          <w:szCs w:val="24"/>
        </w:rPr>
        <w:t>ndan sonra 30 Haziran 20X1 tarihinde atanmamız sebebiyle,</w:t>
      </w:r>
      <w:r w:rsidRPr="00FF2E5C">
        <w:rPr>
          <w:rFonts w:ascii="Times New Roman" w:hAnsi="Times New Roman"/>
          <w:sz w:val="24"/>
          <w:szCs w:val="24"/>
        </w:rPr>
        <w:t xml:space="preserve"> </w:t>
      </w:r>
      <w:r>
        <w:rPr>
          <w:rFonts w:ascii="Times New Roman" w:hAnsi="Times New Roman"/>
          <w:sz w:val="24"/>
          <w:szCs w:val="24"/>
        </w:rPr>
        <w:t xml:space="preserve">tarafımızca fiziki stok sayımı </w:t>
      </w:r>
      <w:r w:rsidRPr="00FF2E5C">
        <w:rPr>
          <w:rFonts w:ascii="Times New Roman" w:hAnsi="Times New Roman"/>
          <w:sz w:val="24"/>
          <w:szCs w:val="24"/>
        </w:rPr>
        <w:t xml:space="preserve">gözlemlenememiştir. 31 Aralık 20X0 tarihli stok miktarının tespitine ilişkin olarak alternatif yöntemler uygulanmasına rağmen ikna edici sonuçlara </w:t>
      </w:r>
      <w:r w:rsidRPr="00560A94">
        <w:rPr>
          <w:rFonts w:ascii="Times New Roman" w:hAnsi="Times New Roman"/>
          <w:sz w:val="24"/>
          <w:szCs w:val="24"/>
        </w:rPr>
        <w:t>ulaşılamamıştır. Finansal performans ve nakit akışlarının belirlenmesinde stokların açılış bakiyelerinin etkili olması sebebiyle, kâr veya zarar ve diğer kapsamlı gelir tablosunda raporlanan dönem kârı ile</w:t>
      </w:r>
      <w:r w:rsidRPr="00FF2E5C">
        <w:rPr>
          <w:rFonts w:ascii="Times New Roman" w:hAnsi="Times New Roman"/>
          <w:sz w:val="24"/>
          <w:szCs w:val="24"/>
        </w:rPr>
        <w:t xml:space="preserve"> nakit akış tablosunda raporlanan işletme faaliyetlerinden sağlanan net nakit akışlarıyla ilgili herhangi bir düzeltme kaydının gerekli olup olmadığına karar verilememektedir.</w:t>
      </w:r>
    </w:p>
    <w:p w:rsidR="00E14BA8" w:rsidRPr="0021192A" w:rsidRDefault="00E14BA8" w:rsidP="006D154D">
      <w:pPr>
        <w:spacing w:before="120" w:after="120"/>
        <w:jc w:val="both"/>
        <w:rPr>
          <w:rFonts w:ascii="Times New Roman" w:hAnsi="Times New Roman"/>
          <w:b/>
          <w:i/>
          <w:sz w:val="24"/>
          <w:szCs w:val="24"/>
        </w:rPr>
      </w:pPr>
      <w:r w:rsidRPr="0021192A">
        <w:rPr>
          <w:rFonts w:ascii="Times New Roman" w:hAnsi="Times New Roman"/>
          <w:b/>
          <w:i/>
          <w:sz w:val="24"/>
          <w:szCs w:val="24"/>
        </w:rPr>
        <w:t xml:space="preserve">Sınırlı Olumlu Görüş </w:t>
      </w:r>
    </w:p>
    <w:p w:rsidR="00E14BA8" w:rsidRPr="00560A94" w:rsidRDefault="00E14BA8" w:rsidP="00560A94">
      <w:pPr>
        <w:spacing w:before="120" w:after="120"/>
        <w:jc w:val="both"/>
        <w:rPr>
          <w:rFonts w:ascii="Times New Roman" w:hAnsi="Times New Roman"/>
          <w:sz w:val="24"/>
          <w:szCs w:val="24"/>
        </w:rPr>
      </w:pPr>
      <w:r w:rsidRPr="00560A94">
        <w:rPr>
          <w:rFonts w:ascii="Times New Roman" w:hAnsi="Times New Roman"/>
          <w:sz w:val="24"/>
          <w:szCs w:val="24"/>
        </w:rPr>
        <w:t>Görüşümüze göre, yukarıda “Sınırlı Olumlu Görüşün Dayanağı” paragrafında</w:t>
      </w:r>
      <w:r w:rsidRPr="00560A94">
        <w:rPr>
          <w:rFonts w:ascii="Times New Roman" w:hAnsi="Times New Roman"/>
          <w:i/>
          <w:sz w:val="24"/>
          <w:szCs w:val="24"/>
        </w:rPr>
        <w:t xml:space="preserve"> </w:t>
      </w:r>
      <w:r w:rsidRPr="00560A94">
        <w:rPr>
          <w:rFonts w:ascii="Times New Roman" w:hAnsi="Times New Roman"/>
          <w:sz w:val="24"/>
          <w:szCs w:val="24"/>
        </w:rPr>
        <w:t xml:space="preserve">açıklanan hususun muhtemel etkileri hariç olmak üzere, ABC şirketinin finansal tabloları, şirketin 31 Aralık 20X1 tarihindeki finansal durumunu ve bu tarihte sona eren döneme ilişkin finansal performansını ve nakit akışlarını Türkiye </w:t>
      </w:r>
      <w:r>
        <w:rPr>
          <w:rFonts w:ascii="Times New Roman" w:hAnsi="Times New Roman"/>
          <w:sz w:val="24"/>
          <w:szCs w:val="24"/>
        </w:rPr>
        <w:t>Muhasebe</w:t>
      </w:r>
      <w:r w:rsidRPr="00560A94">
        <w:rPr>
          <w:rFonts w:ascii="Times New Roman" w:hAnsi="Times New Roman"/>
          <w:sz w:val="24"/>
          <w:szCs w:val="24"/>
        </w:rPr>
        <w:t xml:space="preserve"> Standartlarına uygun olarak ve tüm önemli yönleriyle gerçeğe uygun bir biçimde sunmaktadır.</w:t>
      </w:r>
    </w:p>
    <w:p w:rsidR="00E14BA8" w:rsidRPr="00FF2E5C" w:rsidRDefault="00E14BA8" w:rsidP="006D154D">
      <w:pPr>
        <w:spacing w:before="120" w:after="120"/>
        <w:jc w:val="both"/>
        <w:rPr>
          <w:rFonts w:ascii="Times New Roman" w:hAnsi="Times New Roman"/>
          <w:b/>
          <w:sz w:val="24"/>
          <w:szCs w:val="24"/>
        </w:rPr>
      </w:pPr>
    </w:p>
    <w:sectPr w:rsidR="00E14BA8" w:rsidRPr="00FF2E5C" w:rsidSect="0077496E">
      <w:footerReference w:type="default" r:id="rId8"/>
      <w:pgSz w:w="11906" w:h="16838"/>
      <w:pgMar w:top="1418"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26" w:rsidRDefault="00030A26" w:rsidP="001E25E4">
      <w:pPr>
        <w:spacing w:after="0" w:line="240" w:lineRule="auto"/>
      </w:pPr>
      <w:r>
        <w:separator/>
      </w:r>
    </w:p>
  </w:endnote>
  <w:endnote w:type="continuationSeparator" w:id="0">
    <w:p w:rsidR="00030A26" w:rsidRDefault="00030A26" w:rsidP="001E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A8" w:rsidRPr="00A919CB" w:rsidRDefault="00E14BA8">
    <w:pPr>
      <w:pStyle w:val="Altbilgi"/>
      <w:jc w:val="right"/>
      <w:rPr>
        <w:rFonts w:ascii="Times New Roman" w:hAnsi="Times New Roman"/>
      </w:rPr>
    </w:pPr>
    <w:r w:rsidRPr="00A919CB">
      <w:rPr>
        <w:rFonts w:ascii="Times New Roman" w:hAnsi="Times New Roman"/>
      </w:rPr>
      <w:fldChar w:fldCharType="begin"/>
    </w:r>
    <w:r w:rsidRPr="00A919CB">
      <w:rPr>
        <w:rFonts w:ascii="Times New Roman" w:hAnsi="Times New Roman"/>
      </w:rPr>
      <w:instrText>PAGE   \* MERGEFORMAT</w:instrText>
    </w:r>
    <w:r w:rsidRPr="00A919CB">
      <w:rPr>
        <w:rFonts w:ascii="Times New Roman" w:hAnsi="Times New Roman"/>
      </w:rPr>
      <w:fldChar w:fldCharType="separate"/>
    </w:r>
    <w:r w:rsidR="006C6221">
      <w:rPr>
        <w:rFonts w:ascii="Times New Roman" w:hAnsi="Times New Roman"/>
        <w:noProof/>
      </w:rPr>
      <w:t>8</w:t>
    </w:r>
    <w:r w:rsidRPr="00A919CB">
      <w:rPr>
        <w:rFonts w:ascii="Times New Roman" w:hAnsi="Times New Roman"/>
      </w:rPr>
      <w:fldChar w:fldCharType="end"/>
    </w:r>
  </w:p>
  <w:p w:rsidR="00E14BA8" w:rsidRDefault="00E14B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26" w:rsidRDefault="00030A26" w:rsidP="001E25E4">
      <w:pPr>
        <w:spacing w:after="0" w:line="240" w:lineRule="auto"/>
      </w:pPr>
      <w:r>
        <w:separator/>
      </w:r>
    </w:p>
  </w:footnote>
  <w:footnote w:type="continuationSeparator" w:id="0">
    <w:p w:rsidR="00030A26" w:rsidRDefault="00030A26" w:rsidP="001E25E4">
      <w:pPr>
        <w:spacing w:after="0" w:line="240" w:lineRule="auto"/>
      </w:pPr>
      <w:r>
        <w:continuationSeparator/>
      </w:r>
    </w:p>
  </w:footnote>
  <w:footnote w:id="1">
    <w:p w:rsidR="00E14BA8" w:rsidRDefault="00E14BA8" w:rsidP="0035224D">
      <w:pPr>
        <w:pStyle w:val="DipnotMetni"/>
        <w:spacing w:line="276" w:lineRule="auto"/>
        <w:jc w:val="both"/>
      </w:pPr>
      <w:r w:rsidRPr="0035224D">
        <w:rPr>
          <w:rStyle w:val="DipnotBavurusu"/>
          <w:rFonts w:ascii="Times New Roman" w:hAnsi="Times New Roman"/>
          <w:sz w:val="18"/>
          <w:szCs w:val="18"/>
        </w:rPr>
        <w:footnoteRef/>
      </w:r>
      <w:r w:rsidRPr="0035224D">
        <w:rPr>
          <w:rFonts w:ascii="Times New Roman" w:hAnsi="Times New Roman"/>
          <w:sz w:val="18"/>
          <w:szCs w:val="18"/>
        </w:rPr>
        <w:t xml:space="preserve"> BDS 710</w:t>
      </w:r>
      <w:r>
        <w:rPr>
          <w:rFonts w:ascii="Times New Roman" w:hAnsi="Times New Roman"/>
          <w:sz w:val="18"/>
          <w:szCs w:val="18"/>
        </w:rPr>
        <w:t>,</w:t>
      </w:r>
      <w:r w:rsidRPr="0035224D">
        <w:rPr>
          <w:rFonts w:ascii="Times New Roman" w:hAnsi="Times New Roman"/>
          <w:sz w:val="18"/>
          <w:szCs w:val="18"/>
        </w:rPr>
        <w:t xml:space="preserve"> </w:t>
      </w:r>
      <w:r>
        <w:rPr>
          <w:rFonts w:ascii="Times New Roman" w:hAnsi="Times New Roman"/>
          <w:sz w:val="18"/>
          <w:szCs w:val="18"/>
        </w:rPr>
        <w:t>“</w:t>
      </w:r>
      <w:r w:rsidRPr="0035224D">
        <w:rPr>
          <w:rFonts w:ascii="Times New Roman" w:hAnsi="Times New Roman"/>
          <w:sz w:val="18"/>
          <w:szCs w:val="18"/>
        </w:rPr>
        <w:t>Karşılaştırmalı Bilgiler – Önceki Dönemlere Ait Karşılık Gelen Bilgiler ve Karşılaştırmalı Finansal Tablolar</w:t>
      </w:r>
      <w:r>
        <w:rPr>
          <w:rFonts w:ascii="Times New Roman" w:hAnsi="Times New Roman"/>
          <w:sz w:val="18"/>
          <w:szCs w:val="18"/>
        </w:rPr>
        <w:t>”</w:t>
      </w:r>
    </w:p>
  </w:footnote>
  <w:footnote w:id="2">
    <w:p w:rsidR="00E14BA8" w:rsidRPr="0035224D" w:rsidRDefault="00E14BA8" w:rsidP="0035224D">
      <w:pPr>
        <w:pStyle w:val="DipnotMetni"/>
        <w:spacing w:line="276" w:lineRule="auto"/>
        <w:jc w:val="both"/>
        <w:rPr>
          <w:rFonts w:ascii="Times New Roman" w:hAnsi="Times New Roman"/>
          <w:sz w:val="18"/>
          <w:szCs w:val="18"/>
        </w:rPr>
      </w:pPr>
      <w:r w:rsidRPr="0035224D">
        <w:rPr>
          <w:rStyle w:val="DipnotBavurusu"/>
          <w:rFonts w:ascii="Times New Roman" w:hAnsi="Times New Roman"/>
          <w:sz w:val="18"/>
          <w:szCs w:val="18"/>
        </w:rPr>
        <w:footnoteRef/>
      </w:r>
      <w:r w:rsidRPr="0035224D">
        <w:rPr>
          <w:rStyle w:val="DipnotBavurusu"/>
          <w:rFonts w:ascii="Times New Roman" w:hAnsi="Times New Roman"/>
          <w:sz w:val="18"/>
          <w:szCs w:val="18"/>
        </w:rPr>
        <w:t xml:space="preserve"> </w:t>
      </w:r>
      <w:r w:rsidRPr="0035224D">
        <w:rPr>
          <w:rFonts w:ascii="Times New Roman" w:hAnsi="Times New Roman"/>
          <w:sz w:val="18"/>
          <w:szCs w:val="18"/>
        </w:rPr>
        <w:t>BDS 300</w:t>
      </w:r>
      <w:r>
        <w:rPr>
          <w:rFonts w:ascii="Times New Roman" w:hAnsi="Times New Roman"/>
          <w:sz w:val="18"/>
          <w:szCs w:val="18"/>
        </w:rPr>
        <w:t>,</w:t>
      </w:r>
      <w:r w:rsidRPr="0035224D">
        <w:rPr>
          <w:rFonts w:ascii="Times New Roman" w:hAnsi="Times New Roman"/>
          <w:sz w:val="18"/>
          <w:szCs w:val="18"/>
        </w:rPr>
        <w:t xml:space="preserve"> </w:t>
      </w:r>
      <w:r>
        <w:rPr>
          <w:rFonts w:ascii="Times New Roman" w:hAnsi="Times New Roman"/>
          <w:sz w:val="18"/>
          <w:szCs w:val="18"/>
        </w:rPr>
        <w:t>“</w:t>
      </w:r>
      <w:r w:rsidRPr="0035224D">
        <w:rPr>
          <w:rFonts w:ascii="Times New Roman" w:hAnsi="Times New Roman"/>
          <w:sz w:val="18"/>
          <w:szCs w:val="18"/>
        </w:rPr>
        <w:t>Finansal Tabloların Bağımsız Denetiminin Planlanması</w:t>
      </w:r>
      <w:r>
        <w:rPr>
          <w:rFonts w:ascii="Times New Roman" w:hAnsi="Times New Roman"/>
          <w:sz w:val="18"/>
          <w:szCs w:val="18"/>
        </w:rPr>
        <w:t>”</w:t>
      </w:r>
    </w:p>
    <w:p w:rsidR="00E14BA8" w:rsidRDefault="00E14BA8" w:rsidP="0035224D">
      <w:pPr>
        <w:pStyle w:val="DipnotMetni"/>
        <w:spacing w:line="276" w:lineRule="auto"/>
        <w:jc w:val="both"/>
      </w:pPr>
    </w:p>
  </w:footnote>
  <w:footnote w:id="3">
    <w:p w:rsidR="00E14BA8" w:rsidRDefault="00E14BA8" w:rsidP="0035224D">
      <w:pPr>
        <w:pStyle w:val="DipnotMetni"/>
        <w:spacing w:line="276" w:lineRule="auto"/>
        <w:jc w:val="both"/>
      </w:pPr>
      <w:r w:rsidRPr="0035224D">
        <w:rPr>
          <w:rStyle w:val="DipnotBavurusu"/>
          <w:rFonts w:ascii="Times New Roman" w:hAnsi="Times New Roman"/>
          <w:sz w:val="18"/>
          <w:szCs w:val="18"/>
        </w:rPr>
        <w:footnoteRef/>
      </w:r>
      <w:r w:rsidRPr="0035224D">
        <w:rPr>
          <w:rFonts w:ascii="Times New Roman" w:hAnsi="Times New Roman"/>
          <w:sz w:val="18"/>
          <w:szCs w:val="18"/>
        </w:rPr>
        <w:t xml:space="preserve"> BDS 450, “Bağımsız Denetimin Yürütülmesi Sırasında Belirlenen Yanlışlıkların Değerlendirilmesi”</w:t>
      </w:r>
      <w:r>
        <w:rPr>
          <w:rFonts w:ascii="Times New Roman" w:hAnsi="Times New Roman"/>
          <w:sz w:val="18"/>
          <w:szCs w:val="18"/>
        </w:rPr>
        <w:t>,</w:t>
      </w:r>
      <w:r w:rsidRPr="0035224D">
        <w:rPr>
          <w:rFonts w:ascii="Times New Roman" w:hAnsi="Times New Roman"/>
          <w:sz w:val="18"/>
          <w:szCs w:val="18"/>
        </w:rPr>
        <w:t xml:space="preserve"> 8 ve 12 nci </w:t>
      </w:r>
      <w:r>
        <w:rPr>
          <w:rFonts w:ascii="Times New Roman" w:hAnsi="Times New Roman"/>
          <w:sz w:val="18"/>
          <w:szCs w:val="18"/>
        </w:rPr>
        <w:t>p</w:t>
      </w:r>
      <w:r w:rsidRPr="0035224D">
        <w:rPr>
          <w:rFonts w:ascii="Times New Roman" w:hAnsi="Times New Roman"/>
          <w:sz w:val="18"/>
          <w:szCs w:val="18"/>
        </w:rPr>
        <w:t>aragraflar</w:t>
      </w:r>
    </w:p>
  </w:footnote>
  <w:footnote w:id="4">
    <w:p w:rsidR="00E14BA8" w:rsidRDefault="00E14BA8" w:rsidP="00952CE9">
      <w:pPr>
        <w:pStyle w:val="DipnotMetni"/>
        <w:spacing w:line="276" w:lineRule="auto"/>
        <w:jc w:val="both"/>
      </w:pPr>
      <w:r w:rsidRPr="0035224D">
        <w:rPr>
          <w:rStyle w:val="DipnotBavurusu"/>
          <w:rFonts w:ascii="Times New Roman" w:hAnsi="Times New Roman"/>
          <w:sz w:val="18"/>
          <w:szCs w:val="18"/>
        </w:rPr>
        <w:footnoteRef/>
      </w:r>
      <w:r w:rsidRPr="0035224D">
        <w:rPr>
          <w:rFonts w:ascii="Times New Roman" w:hAnsi="Times New Roman"/>
          <w:sz w:val="18"/>
          <w:szCs w:val="18"/>
        </w:rPr>
        <w:t xml:space="preserve"> BDS 315, </w:t>
      </w:r>
      <w:r w:rsidRPr="0035224D">
        <w:rPr>
          <w:rFonts w:ascii="Times New Roman" w:hAnsi="Times New Roman"/>
          <w:color w:val="000000"/>
          <w:sz w:val="18"/>
          <w:szCs w:val="18"/>
        </w:rPr>
        <w:t xml:space="preserve">“İşletme ve Çevresini Tanımak Suretiyle </w:t>
      </w:r>
      <w:r>
        <w:rPr>
          <w:rFonts w:ascii="Times New Roman" w:hAnsi="Times New Roman"/>
          <w:color w:val="000000"/>
          <w:sz w:val="18"/>
          <w:szCs w:val="18"/>
        </w:rPr>
        <w:t>‘</w:t>
      </w:r>
      <w:r w:rsidRPr="0035224D">
        <w:rPr>
          <w:rFonts w:ascii="Times New Roman" w:hAnsi="Times New Roman"/>
          <w:color w:val="000000"/>
          <w:sz w:val="18"/>
          <w:szCs w:val="18"/>
        </w:rPr>
        <w:t>Önemli Yanlışlık</w:t>
      </w:r>
      <w:r>
        <w:rPr>
          <w:rFonts w:ascii="Times New Roman" w:hAnsi="Times New Roman"/>
          <w:color w:val="000000"/>
          <w:sz w:val="18"/>
          <w:szCs w:val="18"/>
        </w:rPr>
        <w:t>’</w:t>
      </w:r>
      <w:r w:rsidRPr="0035224D">
        <w:rPr>
          <w:rFonts w:ascii="Times New Roman" w:hAnsi="Times New Roman"/>
          <w:color w:val="000000"/>
          <w:sz w:val="18"/>
          <w:szCs w:val="18"/>
        </w:rPr>
        <w:t xml:space="preserve"> Risklerinin Belirlenmesi ve Değerlendirilmesi”</w:t>
      </w:r>
    </w:p>
  </w:footnote>
  <w:footnote w:id="5">
    <w:p w:rsidR="00E14BA8" w:rsidRDefault="00E14BA8" w:rsidP="0035224D">
      <w:pPr>
        <w:pStyle w:val="DipnotMetni"/>
        <w:spacing w:line="276" w:lineRule="auto"/>
        <w:jc w:val="both"/>
      </w:pPr>
      <w:r w:rsidRPr="0035224D">
        <w:rPr>
          <w:rStyle w:val="DipnotBavurusu"/>
          <w:rFonts w:ascii="Times New Roman" w:hAnsi="Times New Roman"/>
          <w:sz w:val="18"/>
          <w:szCs w:val="18"/>
        </w:rPr>
        <w:footnoteRef/>
      </w:r>
      <w:r w:rsidRPr="0035224D">
        <w:rPr>
          <w:rFonts w:ascii="Times New Roman" w:hAnsi="Times New Roman"/>
          <w:sz w:val="18"/>
          <w:szCs w:val="18"/>
        </w:rPr>
        <w:t xml:space="preserve"> BDS 705, “Bağımsız Denetçi Raporunda Olumlu </w:t>
      </w:r>
      <w:r>
        <w:rPr>
          <w:rFonts w:ascii="Times New Roman" w:hAnsi="Times New Roman"/>
          <w:sz w:val="18"/>
          <w:szCs w:val="18"/>
        </w:rPr>
        <w:t xml:space="preserve">Görüş </w:t>
      </w:r>
      <w:r w:rsidRPr="0035224D">
        <w:rPr>
          <w:rFonts w:ascii="Times New Roman" w:hAnsi="Times New Roman"/>
          <w:sz w:val="18"/>
          <w:szCs w:val="18"/>
        </w:rPr>
        <w:t xml:space="preserve">Dışında </w:t>
      </w:r>
      <w:r>
        <w:rPr>
          <w:rFonts w:ascii="Times New Roman" w:hAnsi="Times New Roman"/>
          <w:sz w:val="18"/>
          <w:szCs w:val="18"/>
        </w:rPr>
        <w:t xml:space="preserve">Bir </w:t>
      </w:r>
      <w:r w:rsidRPr="0035224D">
        <w:rPr>
          <w:rFonts w:ascii="Times New Roman" w:hAnsi="Times New Roman"/>
          <w:sz w:val="18"/>
          <w:szCs w:val="18"/>
        </w:rPr>
        <w:t>Görüş Verilmesi”</w:t>
      </w:r>
    </w:p>
  </w:footnote>
  <w:footnote w:id="6">
    <w:p w:rsidR="00E14BA8" w:rsidRDefault="00E14BA8" w:rsidP="006D154D">
      <w:pPr>
        <w:pStyle w:val="DipnotMetni"/>
        <w:spacing w:line="276" w:lineRule="auto"/>
        <w:jc w:val="both"/>
        <w:rPr>
          <w:rFonts w:ascii="Times New Roman" w:hAnsi="Times New Roman"/>
          <w:sz w:val="18"/>
          <w:szCs w:val="18"/>
        </w:rPr>
      </w:pPr>
      <w:r w:rsidRPr="00560A94">
        <w:rPr>
          <w:rStyle w:val="DipnotBavurusu"/>
          <w:rFonts w:ascii="Times New Roman" w:hAnsi="Times New Roman"/>
          <w:sz w:val="18"/>
          <w:szCs w:val="18"/>
        </w:rPr>
        <w:t>1</w:t>
      </w:r>
      <w:r w:rsidRPr="00560A94">
        <w:rPr>
          <w:rFonts w:ascii="Times New Roman" w:hAnsi="Times New Roman"/>
          <w:sz w:val="18"/>
          <w:szCs w:val="18"/>
        </w:rPr>
        <w:t xml:space="preserve"> Denetçinin yargısına göre söz konusu muhtemel etkilerin işletmenin finansal performansı ve nakit akışları açısından önemli ve y</w:t>
      </w:r>
      <w:r>
        <w:rPr>
          <w:rFonts w:ascii="Times New Roman" w:hAnsi="Times New Roman"/>
          <w:sz w:val="18"/>
          <w:szCs w:val="18"/>
        </w:rPr>
        <w:t xml:space="preserve">aygın olması durumunda denetçi, </w:t>
      </w:r>
      <w:r w:rsidRPr="00560A94">
        <w:rPr>
          <w:rFonts w:ascii="Times New Roman" w:hAnsi="Times New Roman"/>
          <w:sz w:val="18"/>
          <w:szCs w:val="18"/>
        </w:rPr>
        <w:t>görüş vermekten kaçınır.</w:t>
      </w:r>
    </w:p>
    <w:p w:rsidR="00E14BA8" w:rsidRDefault="00E14BA8" w:rsidP="006D154D">
      <w:pPr>
        <w:pStyle w:val="DipnotMetni"/>
        <w:spacing w:line="276"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855"/>
    <w:multiLevelType w:val="hybridMultilevel"/>
    <w:tmpl w:val="48DA302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2312DE2"/>
    <w:multiLevelType w:val="hybridMultilevel"/>
    <w:tmpl w:val="ADEE2BFA"/>
    <w:lvl w:ilvl="0" w:tplc="9822D7DE">
      <w:start w:val="7"/>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6C15914"/>
    <w:multiLevelType w:val="hybridMultilevel"/>
    <w:tmpl w:val="2F1EE4D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9BB7DE7"/>
    <w:multiLevelType w:val="hybridMultilevel"/>
    <w:tmpl w:val="89C6D998"/>
    <w:lvl w:ilvl="0" w:tplc="041F0001">
      <w:start w:val="1"/>
      <w:numFmt w:val="bullet"/>
      <w:lvlText w:val=""/>
      <w:lvlJc w:val="left"/>
      <w:pPr>
        <w:ind w:left="1428" w:hanging="360"/>
      </w:pPr>
      <w:rPr>
        <w:rFonts w:ascii="Symbol" w:hAnsi="Symbol" w:hint="default"/>
      </w:rPr>
    </w:lvl>
    <w:lvl w:ilvl="1" w:tplc="57E44FA8">
      <w:start w:val="2"/>
      <w:numFmt w:val="bullet"/>
      <w:lvlText w:val="•"/>
      <w:lvlJc w:val="left"/>
      <w:pPr>
        <w:ind w:left="2148" w:hanging="360"/>
      </w:pPr>
      <w:rPr>
        <w:rFonts w:ascii="Times New Roman" w:eastAsia="Times New Roman" w:hAnsi="Times New Roman"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0D327BBB"/>
    <w:multiLevelType w:val="hybridMultilevel"/>
    <w:tmpl w:val="EE3AB17C"/>
    <w:lvl w:ilvl="0" w:tplc="3F864AE8">
      <w:start w:val="1"/>
      <w:numFmt w:val="lowerRoman"/>
      <w:lvlText w:val="(%1)"/>
      <w:lvlJc w:val="left"/>
      <w:pPr>
        <w:ind w:left="4269" w:hanging="360"/>
      </w:pPr>
      <w:rPr>
        <w:rFonts w:cs="Times New Roman" w:hint="default"/>
      </w:rPr>
    </w:lvl>
    <w:lvl w:ilvl="1" w:tplc="041F0019">
      <w:start w:val="1"/>
      <w:numFmt w:val="lowerLetter"/>
      <w:lvlText w:val="%2."/>
      <w:lvlJc w:val="left"/>
      <w:pPr>
        <w:ind w:left="3561" w:hanging="360"/>
      </w:pPr>
      <w:rPr>
        <w:rFonts w:cs="Times New Roman"/>
      </w:rPr>
    </w:lvl>
    <w:lvl w:ilvl="2" w:tplc="041F001B">
      <w:start w:val="1"/>
      <w:numFmt w:val="lowerRoman"/>
      <w:lvlText w:val="%3."/>
      <w:lvlJc w:val="right"/>
      <w:pPr>
        <w:ind w:left="4281" w:hanging="180"/>
      </w:pPr>
      <w:rPr>
        <w:rFonts w:cs="Times New Roman"/>
      </w:rPr>
    </w:lvl>
    <w:lvl w:ilvl="3" w:tplc="041F000F" w:tentative="1">
      <w:start w:val="1"/>
      <w:numFmt w:val="decimal"/>
      <w:lvlText w:val="%4."/>
      <w:lvlJc w:val="left"/>
      <w:pPr>
        <w:ind w:left="5001" w:hanging="360"/>
      </w:pPr>
      <w:rPr>
        <w:rFonts w:cs="Times New Roman"/>
      </w:rPr>
    </w:lvl>
    <w:lvl w:ilvl="4" w:tplc="041F0019" w:tentative="1">
      <w:start w:val="1"/>
      <w:numFmt w:val="lowerLetter"/>
      <w:lvlText w:val="%5."/>
      <w:lvlJc w:val="left"/>
      <w:pPr>
        <w:ind w:left="5721" w:hanging="360"/>
      </w:pPr>
      <w:rPr>
        <w:rFonts w:cs="Times New Roman"/>
      </w:rPr>
    </w:lvl>
    <w:lvl w:ilvl="5" w:tplc="041F001B" w:tentative="1">
      <w:start w:val="1"/>
      <w:numFmt w:val="lowerRoman"/>
      <w:lvlText w:val="%6."/>
      <w:lvlJc w:val="right"/>
      <w:pPr>
        <w:ind w:left="6441" w:hanging="180"/>
      </w:pPr>
      <w:rPr>
        <w:rFonts w:cs="Times New Roman"/>
      </w:rPr>
    </w:lvl>
    <w:lvl w:ilvl="6" w:tplc="041F000F" w:tentative="1">
      <w:start w:val="1"/>
      <w:numFmt w:val="decimal"/>
      <w:lvlText w:val="%7."/>
      <w:lvlJc w:val="left"/>
      <w:pPr>
        <w:ind w:left="7161" w:hanging="360"/>
      </w:pPr>
      <w:rPr>
        <w:rFonts w:cs="Times New Roman"/>
      </w:rPr>
    </w:lvl>
    <w:lvl w:ilvl="7" w:tplc="041F0019" w:tentative="1">
      <w:start w:val="1"/>
      <w:numFmt w:val="lowerLetter"/>
      <w:lvlText w:val="%8."/>
      <w:lvlJc w:val="left"/>
      <w:pPr>
        <w:ind w:left="7881" w:hanging="360"/>
      </w:pPr>
      <w:rPr>
        <w:rFonts w:cs="Times New Roman"/>
      </w:rPr>
    </w:lvl>
    <w:lvl w:ilvl="8" w:tplc="041F001B" w:tentative="1">
      <w:start w:val="1"/>
      <w:numFmt w:val="lowerRoman"/>
      <w:lvlText w:val="%9."/>
      <w:lvlJc w:val="right"/>
      <w:pPr>
        <w:ind w:left="8601" w:hanging="180"/>
      </w:pPr>
      <w:rPr>
        <w:rFonts w:cs="Times New Roman"/>
      </w:rPr>
    </w:lvl>
  </w:abstractNum>
  <w:abstractNum w:abstractNumId="5">
    <w:nsid w:val="1292218E"/>
    <w:multiLevelType w:val="hybridMultilevel"/>
    <w:tmpl w:val="EA4E4BEA"/>
    <w:lvl w:ilvl="0" w:tplc="C4E29366">
      <w:start w:val="1"/>
      <w:numFmt w:val="lowerLetter"/>
      <w:lvlText w:val="(%1)"/>
      <w:lvlJc w:val="left"/>
      <w:pPr>
        <w:ind w:left="1428" w:hanging="360"/>
      </w:pPr>
      <w:rPr>
        <w:rFonts w:cs="Times New Roman" w:hint="default"/>
      </w:rPr>
    </w:lvl>
    <w:lvl w:ilvl="1" w:tplc="041F0019">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6">
    <w:nsid w:val="14AF3051"/>
    <w:multiLevelType w:val="hybridMultilevel"/>
    <w:tmpl w:val="9D0C7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ED701A"/>
    <w:multiLevelType w:val="hybridMultilevel"/>
    <w:tmpl w:val="BF36048E"/>
    <w:lvl w:ilvl="0" w:tplc="C4E29366">
      <w:start w:val="1"/>
      <w:numFmt w:val="lowerLetter"/>
      <w:lvlText w:val="(%1)"/>
      <w:lvlJc w:val="left"/>
      <w:pPr>
        <w:ind w:left="1428" w:hanging="360"/>
      </w:pPr>
      <w:rPr>
        <w:rFonts w:cs="Times New Roman" w:hint="default"/>
      </w:rPr>
    </w:lvl>
    <w:lvl w:ilvl="1" w:tplc="C4E29366">
      <w:start w:val="1"/>
      <w:numFmt w:val="lowerLetter"/>
      <w:lvlText w:val="(%2)"/>
      <w:lvlJc w:val="left"/>
      <w:pPr>
        <w:ind w:left="2148" w:hanging="360"/>
      </w:pPr>
      <w:rPr>
        <w:rFonts w:cs="Times New Roman" w:hint="default"/>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8">
    <w:nsid w:val="158B1817"/>
    <w:multiLevelType w:val="hybridMultilevel"/>
    <w:tmpl w:val="C0F4F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BB6AD6"/>
    <w:multiLevelType w:val="hybridMultilevel"/>
    <w:tmpl w:val="B3904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04530D0"/>
    <w:multiLevelType w:val="hybridMultilevel"/>
    <w:tmpl w:val="FCFE60EE"/>
    <w:lvl w:ilvl="0" w:tplc="D706AD54">
      <w:start w:val="9"/>
      <w:numFmt w:val="lowerLetter"/>
      <w:lvlText w:val="(%1)"/>
      <w:lvlJc w:val="left"/>
      <w:pPr>
        <w:ind w:left="1065" w:hanging="705"/>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22486B2B"/>
    <w:multiLevelType w:val="hybridMultilevel"/>
    <w:tmpl w:val="339AF2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257150E"/>
    <w:multiLevelType w:val="hybridMultilevel"/>
    <w:tmpl w:val="E6E2F03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227B1336"/>
    <w:multiLevelType w:val="hybridMultilevel"/>
    <w:tmpl w:val="8102AC0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291366FF"/>
    <w:multiLevelType w:val="hybridMultilevel"/>
    <w:tmpl w:val="0E74C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C876A1D"/>
    <w:multiLevelType w:val="hybridMultilevel"/>
    <w:tmpl w:val="70A250A6"/>
    <w:lvl w:ilvl="0" w:tplc="C4E29366">
      <w:start w:val="1"/>
      <w:numFmt w:val="lowerLetter"/>
      <w:lvlText w:val="(%1)"/>
      <w:lvlJc w:val="left"/>
      <w:pPr>
        <w:ind w:left="2148"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2D8C1131"/>
    <w:multiLevelType w:val="hybridMultilevel"/>
    <w:tmpl w:val="4C5241CC"/>
    <w:lvl w:ilvl="0" w:tplc="3F864AE8">
      <w:start w:val="1"/>
      <w:numFmt w:val="lowerRoman"/>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2ECD19F5"/>
    <w:multiLevelType w:val="hybridMultilevel"/>
    <w:tmpl w:val="6D2EFA72"/>
    <w:lvl w:ilvl="0" w:tplc="8C8EB13C">
      <w:start w:val="1"/>
      <w:numFmt w:val="decimal"/>
      <w:lvlText w:val="A%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30D92874"/>
    <w:multiLevelType w:val="hybridMultilevel"/>
    <w:tmpl w:val="591E701C"/>
    <w:lvl w:ilvl="0" w:tplc="2E76ADA2">
      <w:start w:val="1"/>
      <w:numFmt w:val="decimal"/>
      <w:lvlText w:val="A%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34E0250C"/>
    <w:multiLevelType w:val="hybridMultilevel"/>
    <w:tmpl w:val="FB6CF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C304A86"/>
    <w:multiLevelType w:val="hybridMultilevel"/>
    <w:tmpl w:val="8026D1A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nsid w:val="3C7812FB"/>
    <w:multiLevelType w:val="hybridMultilevel"/>
    <w:tmpl w:val="A57E6AFC"/>
    <w:lvl w:ilvl="0" w:tplc="C4E29366">
      <w:start w:val="1"/>
      <w:numFmt w:val="lowerLetter"/>
      <w:lvlText w:val="(%1)"/>
      <w:lvlJc w:val="left"/>
      <w:pPr>
        <w:ind w:left="1428" w:hanging="360"/>
      </w:pPr>
      <w:rPr>
        <w:rFonts w:cs="Times New Roman" w:hint="default"/>
      </w:rPr>
    </w:lvl>
    <w:lvl w:ilvl="1" w:tplc="041F0019">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2">
    <w:nsid w:val="42F443BE"/>
    <w:multiLevelType w:val="hybridMultilevel"/>
    <w:tmpl w:val="EB68AE08"/>
    <w:lvl w:ilvl="0" w:tplc="43CC482A">
      <w:start w:val="1"/>
      <w:numFmt w:val="lowerLetter"/>
      <w:lvlText w:val="(%1)"/>
      <w:lvlJc w:val="left"/>
      <w:pPr>
        <w:ind w:left="1068" w:hanging="360"/>
      </w:pPr>
      <w:rPr>
        <w:rFonts w:cs="Times New Roman" w:hint="default"/>
        <w:sz w:val="19"/>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3">
    <w:nsid w:val="485A6E36"/>
    <w:multiLevelType w:val="hybridMultilevel"/>
    <w:tmpl w:val="AEB25602"/>
    <w:lvl w:ilvl="0" w:tplc="6804EDE0">
      <w:start w:val="9"/>
      <w:numFmt w:val="lowerLetter"/>
      <w:lvlText w:val="(%1)"/>
      <w:lvlJc w:val="left"/>
      <w:pPr>
        <w:ind w:left="2136"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558F1DC6"/>
    <w:multiLevelType w:val="hybridMultilevel"/>
    <w:tmpl w:val="BF4C3B4E"/>
    <w:lvl w:ilvl="0" w:tplc="C4E29366">
      <w:start w:val="1"/>
      <w:numFmt w:val="lowerLetter"/>
      <w:lvlText w:val="(%1)"/>
      <w:lvlJc w:val="left"/>
      <w:pPr>
        <w:ind w:left="1428" w:hanging="360"/>
      </w:pPr>
      <w:rPr>
        <w:rFonts w:cs="Times New Roman" w:hint="default"/>
      </w:rPr>
    </w:lvl>
    <w:lvl w:ilvl="1" w:tplc="89040386">
      <w:start w:val="1"/>
      <w:numFmt w:val="decimal"/>
      <w:lvlText w:val="(%2)"/>
      <w:lvlJc w:val="left"/>
      <w:pPr>
        <w:ind w:left="2148" w:hanging="360"/>
      </w:pPr>
      <w:rPr>
        <w:rFonts w:cs="Times New Roman" w:hint="default"/>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5">
    <w:nsid w:val="56BC27E3"/>
    <w:multiLevelType w:val="hybridMultilevel"/>
    <w:tmpl w:val="5A667232"/>
    <w:lvl w:ilvl="0" w:tplc="6804EDE0">
      <w:start w:val="9"/>
      <w:numFmt w:val="lowerLetter"/>
      <w:lvlText w:val="(%1)"/>
      <w:lvlJc w:val="left"/>
      <w:pPr>
        <w:ind w:left="2136" w:hanging="72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26">
    <w:nsid w:val="5DA670C1"/>
    <w:multiLevelType w:val="hybridMultilevel"/>
    <w:tmpl w:val="E5BA9478"/>
    <w:lvl w:ilvl="0" w:tplc="C4E29366">
      <w:start w:val="1"/>
      <w:numFmt w:val="lowerLetter"/>
      <w:lvlText w:val="(%1)"/>
      <w:lvlJc w:val="left"/>
      <w:pPr>
        <w:ind w:left="1428" w:hanging="360"/>
      </w:pPr>
      <w:rPr>
        <w:rFonts w:cs="Times New Roman" w:hint="default"/>
      </w:rPr>
    </w:lvl>
    <w:lvl w:ilvl="1" w:tplc="C4E29366">
      <w:start w:val="1"/>
      <w:numFmt w:val="lowerLetter"/>
      <w:lvlText w:val="(%2)"/>
      <w:lvlJc w:val="left"/>
      <w:pPr>
        <w:ind w:left="2148" w:hanging="360"/>
      </w:pPr>
      <w:rPr>
        <w:rFonts w:cs="Times New Roman" w:hint="default"/>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7">
    <w:nsid w:val="5E4546CE"/>
    <w:multiLevelType w:val="hybridMultilevel"/>
    <w:tmpl w:val="27DA3EF6"/>
    <w:lvl w:ilvl="0" w:tplc="C4E29366">
      <w:start w:val="1"/>
      <w:numFmt w:val="lowerLetter"/>
      <w:lvlText w:val="(%1)"/>
      <w:lvlJc w:val="left"/>
      <w:pPr>
        <w:ind w:left="1428" w:hanging="360"/>
      </w:pPr>
      <w:rPr>
        <w:rFonts w:cs="Times New Roman" w:hint="default"/>
      </w:rPr>
    </w:lvl>
    <w:lvl w:ilvl="1" w:tplc="041F0019">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8">
    <w:nsid w:val="60636F19"/>
    <w:multiLevelType w:val="hybridMultilevel"/>
    <w:tmpl w:val="DCFC5B32"/>
    <w:lvl w:ilvl="0" w:tplc="25664152">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6324284C"/>
    <w:multiLevelType w:val="hybridMultilevel"/>
    <w:tmpl w:val="2ECA797A"/>
    <w:lvl w:ilvl="0" w:tplc="B4C43C4A">
      <w:start w:val="1"/>
      <w:numFmt w:val="decimal"/>
      <w:lvlText w:val="%1."/>
      <w:lvlJc w:val="left"/>
      <w:pPr>
        <w:ind w:left="720" w:hanging="360"/>
      </w:pPr>
      <w:rPr>
        <w:rFonts w:cs="Times New Roman" w:hint="default"/>
      </w:rPr>
    </w:lvl>
    <w:lvl w:ilvl="1" w:tplc="AA4E0968">
      <w:start w:val="1"/>
      <w:numFmt w:val="lowerLetter"/>
      <w:lvlText w:val="(%2)"/>
      <w:lvlJc w:val="left"/>
      <w:pPr>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647C34C9"/>
    <w:multiLevelType w:val="hybridMultilevel"/>
    <w:tmpl w:val="61F80352"/>
    <w:lvl w:ilvl="0" w:tplc="041F000F">
      <w:start w:val="1"/>
      <w:numFmt w:val="decimal"/>
      <w:lvlText w:val="%1."/>
      <w:lvlJc w:val="left"/>
      <w:pPr>
        <w:ind w:left="2136"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nsid w:val="67DB0B40"/>
    <w:multiLevelType w:val="hybridMultilevel"/>
    <w:tmpl w:val="93A4852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nsid w:val="6C6F3E65"/>
    <w:multiLevelType w:val="hybridMultilevel"/>
    <w:tmpl w:val="7E02B170"/>
    <w:lvl w:ilvl="0" w:tplc="0C3244C4">
      <w:start w:val="1"/>
      <w:numFmt w:val="decimal"/>
      <w:lvlText w:val="%1."/>
      <w:lvlJc w:val="left"/>
      <w:pPr>
        <w:ind w:left="420" w:hanging="360"/>
      </w:pPr>
      <w:rPr>
        <w:rFonts w:cs="Times New Roman" w:hint="default"/>
      </w:rPr>
    </w:lvl>
    <w:lvl w:ilvl="1" w:tplc="041F0019">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33">
    <w:nsid w:val="750921A7"/>
    <w:multiLevelType w:val="hybridMultilevel"/>
    <w:tmpl w:val="66FC3AA0"/>
    <w:lvl w:ilvl="0" w:tplc="C4E29366">
      <w:start w:val="1"/>
      <w:numFmt w:val="lowerLetter"/>
      <w:lvlText w:val="(%1)"/>
      <w:lvlJc w:val="left"/>
      <w:pPr>
        <w:ind w:left="1428" w:hanging="360"/>
      </w:pPr>
      <w:rPr>
        <w:rFonts w:cs="Times New Roman" w:hint="default"/>
      </w:rPr>
    </w:lvl>
    <w:lvl w:ilvl="1" w:tplc="C4E29366">
      <w:start w:val="1"/>
      <w:numFmt w:val="lowerLetter"/>
      <w:lvlText w:val="(%2)"/>
      <w:lvlJc w:val="left"/>
      <w:pPr>
        <w:ind w:left="2148" w:hanging="360"/>
      </w:pPr>
      <w:rPr>
        <w:rFonts w:cs="Times New Roman" w:hint="default"/>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34">
    <w:nsid w:val="7A5F5686"/>
    <w:multiLevelType w:val="hybridMultilevel"/>
    <w:tmpl w:val="0194CF04"/>
    <w:lvl w:ilvl="0" w:tplc="44F03EA6">
      <w:start w:val="4"/>
      <w:numFmt w:val="decimal"/>
      <w:lvlText w:val="A%1."/>
      <w:lvlJc w:val="left"/>
      <w:pPr>
        <w:ind w:left="720" w:hanging="360"/>
      </w:pPr>
      <w:rPr>
        <w:rFonts w:cs="Times New Roman" w:hint="default"/>
        <w:b w:val="0"/>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19"/>
  </w:num>
  <w:num w:numId="3">
    <w:abstractNumId w:val="14"/>
  </w:num>
  <w:num w:numId="4">
    <w:abstractNumId w:val="8"/>
  </w:num>
  <w:num w:numId="5">
    <w:abstractNumId w:val="3"/>
  </w:num>
  <w:num w:numId="6">
    <w:abstractNumId w:val="28"/>
  </w:num>
  <w:num w:numId="7">
    <w:abstractNumId w:val="11"/>
  </w:num>
  <w:num w:numId="8">
    <w:abstractNumId w:val="20"/>
  </w:num>
  <w:num w:numId="9">
    <w:abstractNumId w:val="9"/>
  </w:num>
  <w:num w:numId="10">
    <w:abstractNumId w:val="32"/>
  </w:num>
  <w:num w:numId="11">
    <w:abstractNumId w:val="2"/>
  </w:num>
  <w:num w:numId="12">
    <w:abstractNumId w:val="29"/>
  </w:num>
  <w:num w:numId="13">
    <w:abstractNumId w:val="33"/>
  </w:num>
  <w:num w:numId="14">
    <w:abstractNumId w:val="5"/>
  </w:num>
  <w:num w:numId="15">
    <w:abstractNumId w:val="26"/>
  </w:num>
  <w:num w:numId="16">
    <w:abstractNumId w:val="4"/>
  </w:num>
  <w:num w:numId="17">
    <w:abstractNumId w:val="25"/>
  </w:num>
  <w:num w:numId="18">
    <w:abstractNumId w:val="23"/>
  </w:num>
  <w:num w:numId="19">
    <w:abstractNumId w:val="30"/>
  </w:num>
  <w:num w:numId="20">
    <w:abstractNumId w:val="27"/>
  </w:num>
  <w:num w:numId="21">
    <w:abstractNumId w:val="7"/>
  </w:num>
  <w:num w:numId="22">
    <w:abstractNumId w:val="16"/>
  </w:num>
  <w:num w:numId="23">
    <w:abstractNumId w:val="10"/>
  </w:num>
  <w:num w:numId="24">
    <w:abstractNumId w:val="0"/>
  </w:num>
  <w:num w:numId="25">
    <w:abstractNumId w:val="1"/>
  </w:num>
  <w:num w:numId="26">
    <w:abstractNumId w:val="12"/>
  </w:num>
  <w:num w:numId="27">
    <w:abstractNumId w:val="13"/>
  </w:num>
  <w:num w:numId="28">
    <w:abstractNumId w:val="31"/>
  </w:num>
  <w:num w:numId="29">
    <w:abstractNumId w:val="21"/>
  </w:num>
  <w:num w:numId="30">
    <w:abstractNumId w:val="24"/>
  </w:num>
  <w:num w:numId="31">
    <w:abstractNumId w:val="17"/>
  </w:num>
  <w:num w:numId="32">
    <w:abstractNumId w:val="18"/>
  </w:num>
  <w:num w:numId="33">
    <w:abstractNumId w:val="34"/>
  </w:num>
  <w:num w:numId="34">
    <w:abstractNumId w:val="2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B96"/>
    <w:rsid w:val="000038FD"/>
    <w:rsid w:val="000106C4"/>
    <w:rsid w:val="00010D23"/>
    <w:rsid w:val="00014E09"/>
    <w:rsid w:val="000160B2"/>
    <w:rsid w:val="00026A80"/>
    <w:rsid w:val="00030A26"/>
    <w:rsid w:val="000335FF"/>
    <w:rsid w:val="00034E7E"/>
    <w:rsid w:val="00041698"/>
    <w:rsid w:val="000432CD"/>
    <w:rsid w:val="00045B5F"/>
    <w:rsid w:val="00053799"/>
    <w:rsid w:val="00094BEE"/>
    <w:rsid w:val="000B3980"/>
    <w:rsid w:val="000B4D6A"/>
    <w:rsid w:val="000D2E1F"/>
    <w:rsid w:val="000E3C3B"/>
    <w:rsid w:val="000F4ECC"/>
    <w:rsid w:val="000F61D4"/>
    <w:rsid w:val="00111CB4"/>
    <w:rsid w:val="0011200F"/>
    <w:rsid w:val="0013393C"/>
    <w:rsid w:val="00134583"/>
    <w:rsid w:val="00134A61"/>
    <w:rsid w:val="00160007"/>
    <w:rsid w:val="0016149D"/>
    <w:rsid w:val="00161A34"/>
    <w:rsid w:val="0017690B"/>
    <w:rsid w:val="001848AE"/>
    <w:rsid w:val="00186A68"/>
    <w:rsid w:val="0019680C"/>
    <w:rsid w:val="001A132D"/>
    <w:rsid w:val="001A257E"/>
    <w:rsid w:val="001B2054"/>
    <w:rsid w:val="001B3722"/>
    <w:rsid w:val="001C1918"/>
    <w:rsid w:val="001C2923"/>
    <w:rsid w:val="001C34A7"/>
    <w:rsid w:val="001D2C4F"/>
    <w:rsid w:val="001E25E4"/>
    <w:rsid w:val="001E2876"/>
    <w:rsid w:val="002070AB"/>
    <w:rsid w:val="0021192A"/>
    <w:rsid w:val="0021267C"/>
    <w:rsid w:val="00227D4B"/>
    <w:rsid w:val="00227D6D"/>
    <w:rsid w:val="00234753"/>
    <w:rsid w:val="002370B1"/>
    <w:rsid w:val="00242330"/>
    <w:rsid w:val="0025360F"/>
    <w:rsid w:val="00263229"/>
    <w:rsid w:val="002664C4"/>
    <w:rsid w:val="00272EDB"/>
    <w:rsid w:val="002733DF"/>
    <w:rsid w:val="00282495"/>
    <w:rsid w:val="00283FF0"/>
    <w:rsid w:val="002912F7"/>
    <w:rsid w:val="00294F3C"/>
    <w:rsid w:val="002A2559"/>
    <w:rsid w:val="002A2763"/>
    <w:rsid w:val="002A66B6"/>
    <w:rsid w:val="002B030D"/>
    <w:rsid w:val="002B7BE5"/>
    <w:rsid w:val="002C4451"/>
    <w:rsid w:val="002D487B"/>
    <w:rsid w:val="002D5658"/>
    <w:rsid w:val="002F131A"/>
    <w:rsid w:val="002F215B"/>
    <w:rsid w:val="002F4495"/>
    <w:rsid w:val="002F4A0A"/>
    <w:rsid w:val="003155C9"/>
    <w:rsid w:val="00317004"/>
    <w:rsid w:val="00317AE4"/>
    <w:rsid w:val="0032029E"/>
    <w:rsid w:val="003214A8"/>
    <w:rsid w:val="00344FD4"/>
    <w:rsid w:val="0035224D"/>
    <w:rsid w:val="00365510"/>
    <w:rsid w:val="00382A05"/>
    <w:rsid w:val="0039187F"/>
    <w:rsid w:val="003C2EE3"/>
    <w:rsid w:val="003D4EE3"/>
    <w:rsid w:val="003E7D88"/>
    <w:rsid w:val="0040444D"/>
    <w:rsid w:val="00411C42"/>
    <w:rsid w:val="00416E43"/>
    <w:rsid w:val="00417F14"/>
    <w:rsid w:val="00421E78"/>
    <w:rsid w:val="00424473"/>
    <w:rsid w:val="00430012"/>
    <w:rsid w:val="004334A3"/>
    <w:rsid w:val="004528B2"/>
    <w:rsid w:val="0045304C"/>
    <w:rsid w:val="00453C48"/>
    <w:rsid w:val="00453EB6"/>
    <w:rsid w:val="00480681"/>
    <w:rsid w:val="004940CC"/>
    <w:rsid w:val="00497A68"/>
    <w:rsid w:val="004A0980"/>
    <w:rsid w:val="004A6DEC"/>
    <w:rsid w:val="004B7EAB"/>
    <w:rsid w:val="004C2F4E"/>
    <w:rsid w:val="004D44A9"/>
    <w:rsid w:val="004F1180"/>
    <w:rsid w:val="004F3BDF"/>
    <w:rsid w:val="00506CEE"/>
    <w:rsid w:val="005132E3"/>
    <w:rsid w:val="005240E2"/>
    <w:rsid w:val="00541DD7"/>
    <w:rsid w:val="00552E03"/>
    <w:rsid w:val="00554E5E"/>
    <w:rsid w:val="00560A94"/>
    <w:rsid w:val="00561D67"/>
    <w:rsid w:val="00572365"/>
    <w:rsid w:val="00586CD4"/>
    <w:rsid w:val="00590BD3"/>
    <w:rsid w:val="005B5037"/>
    <w:rsid w:val="005B728E"/>
    <w:rsid w:val="005C1916"/>
    <w:rsid w:val="005C2746"/>
    <w:rsid w:val="005C43E3"/>
    <w:rsid w:val="005E4CE9"/>
    <w:rsid w:val="005E5D6A"/>
    <w:rsid w:val="005F7A2D"/>
    <w:rsid w:val="0060235B"/>
    <w:rsid w:val="00605A04"/>
    <w:rsid w:val="00630AA0"/>
    <w:rsid w:val="006447B6"/>
    <w:rsid w:val="006503B3"/>
    <w:rsid w:val="0065563F"/>
    <w:rsid w:val="00671B5C"/>
    <w:rsid w:val="00671F72"/>
    <w:rsid w:val="0067336F"/>
    <w:rsid w:val="00680C4A"/>
    <w:rsid w:val="0068312D"/>
    <w:rsid w:val="006843A2"/>
    <w:rsid w:val="006974F1"/>
    <w:rsid w:val="006A1369"/>
    <w:rsid w:val="006A72D1"/>
    <w:rsid w:val="006A7825"/>
    <w:rsid w:val="006C32BD"/>
    <w:rsid w:val="006C6221"/>
    <w:rsid w:val="006D154D"/>
    <w:rsid w:val="006D6BC5"/>
    <w:rsid w:val="006E1A44"/>
    <w:rsid w:val="006E2FBD"/>
    <w:rsid w:val="006E36ED"/>
    <w:rsid w:val="006E7F14"/>
    <w:rsid w:val="006F3587"/>
    <w:rsid w:val="006F6CA5"/>
    <w:rsid w:val="00703CD3"/>
    <w:rsid w:val="00704B96"/>
    <w:rsid w:val="007233FB"/>
    <w:rsid w:val="007316AE"/>
    <w:rsid w:val="00744480"/>
    <w:rsid w:val="0076185E"/>
    <w:rsid w:val="00771299"/>
    <w:rsid w:val="0077496E"/>
    <w:rsid w:val="007B1ED6"/>
    <w:rsid w:val="007C1998"/>
    <w:rsid w:val="007E0BA6"/>
    <w:rsid w:val="007E1A5F"/>
    <w:rsid w:val="007E31BF"/>
    <w:rsid w:val="007E483D"/>
    <w:rsid w:val="008051C3"/>
    <w:rsid w:val="008070AD"/>
    <w:rsid w:val="00810AEC"/>
    <w:rsid w:val="008135EA"/>
    <w:rsid w:val="00821778"/>
    <w:rsid w:val="008342B7"/>
    <w:rsid w:val="00840BEC"/>
    <w:rsid w:val="008605B4"/>
    <w:rsid w:val="00875B2C"/>
    <w:rsid w:val="00896EBF"/>
    <w:rsid w:val="008A306F"/>
    <w:rsid w:val="008A41FD"/>
    <w:rsid w:val="008A536D"/>
    <w:rsid w:val="008B0C26"/>
    <w:rsid w:val="008B10CA"/>
    <w:rsid w:val="008C245E"/>
    <w:rsid w:val="008C4F57"/>
    <w:rsid w:val="008C574A"/>
    <w:rsid w:val="008D02E3"/>
    <w:rsid w:val="008D4E3A"/>
    <w:rsid w:val="008E22C8"/>
    <w:rsid w:val="008E576E"/>
    <w:rsid w:val="008F3432"/>
    <w:rsid w:val="008F7BEA"/>
    <w:rsid w:val="00916636"/>
    <w:rsid w:val="00917B1A"/>
    <w:rsid w:val="0095037A"/>
    <w:rsid w:val="00952CE9"/>
    <w:rsid w:val="00952CF3"/>
    <w:rsid w:val="00953DFD"/>
    <w:rsid w:val="009542B6"/>
    <w:rsid w:val="0095523B"/>
    <w:rsid w:val="00965CFE"/>
    <w:rsid w:val="00977872"/>
    <w:rsid w:val="00980668"/>
    <w:rsid w:val="00983C70"/>
    <w:rsid w:val="00990824"/>
    <w:rsid w:val="0099598A"/>
    <w:rsid w:val="009A5160"/>
    <w:rsid w:val="009A62E2"/>
    <w:rsid w:val="009C155A"/>
    <w:rsid w:val="009D07E4"/>
    <w:rsid w:val="009D2088"/>
    <w:rsid w:val="00A05C30"/>
    <w:rsid w:val="00A152E1"/>
    <w:rsid w:val="00A155D9"/>
    <w:rsid w:val="00A242B0"/>
    <w:rsid w:val="00A42D26"/>
    <w:rsid w:val="00A43158"/>
    <w:rsid w:val="00A63EB2"/>
    <w:rsid w:val="00A6419F"/>
    <w:rsid w:val="00A81732"/>
    <w:rsid w:val="00A82BB4"/>
    <w:rsid w:val="00A848B2"/>
    <w:rsid w:val="00A919CB"/>
    <w:rsid w:val="00AB2827"/>
    <w:rsid w:val="00AB395F"/>
    <w:rsid w:val="00AB55A2"/>
    <w:rsid w:val="00AB56C5"/>
    <w:rsid w:val="00AB77DC"/>
    <w:rsid w:val="00AC0D6E"/>
    <w:rsid w:val="00AD0F0D"/>
    <w:rsid w:val="00AD67F0"/>
    <w:rsid w:val="00AE472E"/>
    <w:rsid w:val="00AF75C2"/>
    <w:rsid w:val="00AF7D73"/>
    <w:rsid w:val="00B2739D"/>
    <w:rsid w:val="00B3162F"/>
    <w:rsid w:val="00B44DDC"/>
    <w:rsid w:val="00B44EE1"/>
    <w:rsid w:val="00B4647D"/>
    <w:rsid w:val="00B54A4C"/>
    <w:rsid w:val="00B57FD6"/>
    <w:rsid w:val="00B7159F"/>
    <w:rsid w:val="00B76F95"/>
    <w:rsid w:val="00BB0719"/>
    <w:rsid w:val="00BB7A6F"/>
    <w:rsid w:val="00BC1B26"/>
    <w:rsid w:val="00BD0C15"/>
    <w:rsid w:val="00BD33C4"/>
    <w:rsid w:val="00BD390E"/>
    <w:rsid w:val="00BD4293"/>
    <w:rsid w:val="00BE0A7A"/>
    <w:rsid w:val="00BE48DD"/>
    <w:rsid w:val="00C035C2"/>
    <w:rsid w:val="00C11722"/>
    <w:rsid w:val="00C24C87"/>
    <w:rsid w:val="00C31ABC"/>
    <w:rsid w:val="00C35B39"/>
    <w:rsid w:val="00C4086E"/>
    <w:rsid w:val="00C46F91"/>
    <w:rsid w:val="00C50929"/>
    <w:rsid w:val="00C51F47"/>
    <w:rsid w:val="00C550F7"/>
    <w:rsid w:val="00C63112"/>
    <w:rsid w:val="00C63159"/>
    <w:rsid w:val="00C63624"/>
    <w:rsid w:val="00C65AD6"/>
    <w:rsid w:val="00C73230"/>
    <w:rsid w:val="00C73673"/>
    <w:rsid w:val="00C75272"/>
    <w:rsid w:val="00C76ED4"/>
    <w:rsid w:val="00C8431C"/>
    <w:rsid w:val="00C92F53"/>
    <w:rsid w:val="00CA2C21"/>
    <w:rsid w:val="00CA3975"/>
    <w:rsid w:val="00CC584A"/>
    <w:rsid w:val="00CE34E7"/>
    <w:rsid w:val="00D015C1"/>
    <w:rsid w:val="00D20DB5"/>
    <w:rsid w:val="00D419D8"/>
    <w:rsid w:val="00D422CF"/>
    <w:rsid w:val="00D438A3"/>
    <w:rsid w:val="00D44557"/>
    <w:rsid w:val="00D458E0"/>
    <w:rsid w:val="00D56BAB"/>
    <w:rsid w:val="00D60BE5"/>
    <w:rsid w:val="00D703C0"/>
    <w:rsid w:val="00D86D20"/>
    <w:rsid w:val="00D907B1"/>
    <w:rsid w:val="00D92245"/>
    <w:rsid w:val="00DA1329"/>
    <w:rsid w:val="00DB04E5"/>
    <w:rsid w:val="00DB5C61"/>
    <w:rsid w:val="00DB62C4"/>
    <w:rsid w:val="00DD6B2D"/>
    <w:rsid w:val="00DE69F9"/>
    <w:rsid w:val="00DF5F66"/>
    <w:rsid w:val="00DF7E9C"/>
    <w:rsid w:val="00E02FDA"/>
    <w:rsid w:val="00E14BA8"/>
    <w:rsid w:val="00E247AC"/>
    <w:rsid w:val="00E24F9A"/>
    <w:rsid w:val="00E44A1D"/>
    <w:rsid w:val="00E51DAF"/>
    <w:rsid w:val="00E52E39"/>
    <w:rsid w:val="00E708A4"/>
    <w:rsid w:val="00E75013"/>
    <w:rsid w:val="00E811FB"/>
    <w:rsid w:val="00E85DB7"/>
    <w:rsid w:val="00EB102D"/>
    <w:rsid w:val="00EB2AA8"/>
    <w:rsid w:val="00EB5586"/>
    <w:rsid w:val="00EC7227"/>
    <w:rsid w:val="00ED14F8"/>
    <w:rsid w:val="00EE0042"/>
    <w:rsid w:val="00EE53ED"/>
    <w:rsid w:val="00EE647B"/>
    <w:rsid w:val="00EF6780"/>
    <w:rsid w:val="00F021F0"/>
    <w:rsid w:val="00F140D6"/>
    <w:rsid w:val="00F14879"/>
    <w:rsid w:val="00F17A5D"/>
    <w:rsid w:val="00F308D0"/>
    <w:rsid w:val="00F3613C"/>
    <w:rsid w:val="00F416BC"/>
    <w:rsid w:val="00F44399"/>
    <w:rsid w:val="00F47684"/>
    <w:rsid w:val="00F47CF8"/>
    <w:rsid w:val="00F571E2"/>
    <w:rsid w:val="00F57995"/>
    <w:rsid w:val="00F64857"/>
    <w:rsid w:val="00F858FF"/>
    <w:rsid w:val="00F878A7"/>
    <w:rsid w:val="00F93EB9"/>
    <w:rsid w:val="00FA0605"/>
    <w:rsid w:val="00FA3A15"/>
    <w:rsid w:val="00FE26DD"/>
    <w:rsid w:val="00FF2E5C"/>
    <w:rsid w:val="00FF4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93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E25E4"/>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1E25E4"/>
    <w:rPr>
      <w:rFonts w:cs="Times New Roman"/>
    </w:rPr>
  </w:style>
  <w:style w:type="paragraph" w:styleId="Altbilgi">
    <w:name w:val="footer"/>
    <w:basedOn w:val="Normal"/>
    <w:link w:val="AltbilgiChar"/>
    <w:uiPriority w:val="99"/>
    <w:rsid w:val="001E25E4"/>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1E25E4"/>
    <w:rPr>
      <w:rFonts w:cs="Times New Roman"/>
    </w:rPr>
  </w:style>
  <w:style w:type="paragraph" w:styleId="ListeParagraf">
    <w:name w:val="List Paragraph"/>
    <w:basedOn w:val="Normal"/>
    <w:uiPriority w:val="99"/>
    <w:qFormat/>
    <w:rsid w:val="005B728E"/>
    <w:pPr>
      <w:ind w:left="720"/>
      <w:contextualSpacing/>
    </w:pPr>
  </w:style>
  <w:style w:type="character" w:styleId="AklamaBavurusu">
    <w:name w:val="annotation reference"/>
    <w:basedOn w:val="VarsaylanParagrafYazTipi"/>
    <w:uiPriority w:val="99"/>
    <w:semiHidden/>
    <w:rsid w:val="00A05C30"/>
    <w:rPr>
      <w:rFonts w:cs="Times New Roman"/>
      <w:sz w:val="16"/>
      <w:szCs w:val="16"/>
    </w:rPr>
  </w:style>
  <w:style w:type="paragraph" w:styleId="AklamaMetni">
    <w:name w:val="annotation text"/>
    <w:basedOn w:val="Normal"/>
    <w:link w:val="AklamaMetniChar"/>
    <w:uiPriority w:val="99"/>
    <w:semiHidden/>
    <w:rsid w:val="00A05C30"/>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A05C30"/>
    <w:rPr>
      <w:rFonts w:cs="Times New Roman"/>
      <w:sz w:val="20"/>
      <w:szCs w:val="20"/>
    </w:rPr>
  </w:style>
  <w:style w:type="paragraph" w:styleId="AklamaKonusu">
    <w:name w:val="annotation subject"/>
    <w:basedOn w:val="AklamaMetni"/>
    <w:next w:val="AklamaMetni"/>
    <w:link w:val="AklamaKonusuChar"/>
    <w:uiPriority w:val="99"/>
    <w:semiHidden/>
    <w:rsid w:val="00A05C30"/>
    <w:rPr>
      <w:b/>
      <w:bCs/>
    </w:rPr>
  </w:style>
  <w:style w:type="character" w:customStyle="1" w:styleId="AklamaKonusuChar">
    <w:name w:val="Açıklama Konusu Char"/>
    <w:basedOn w:val="AklamaMetniChar"/>
    <w:link w:val="AklamaKonusu"/>
    <w:uiPriority w:val="99"/>
    <w:semiHidden/>
    <w:locked/>
    <w:rsid w:val="00A05C30"/>
    <w:rPr>
      <w:rFonts w:cs="Times New Roman"/>
      <w:b/>
      <w:bCs/>
      <w:sz w:val="20"/>
      <w:szCs w:val="20"/>
    </w:rPr>
  </w:style>
  <w:style w:type="paragraph" w:styleId="BalonMetni">
    <w:name w:val="Balloon Text"/>
    <w:basedOn w:val="Normal"/>
    <w:link w:val="BalonMetniChar"/>
    <w:uiPriority w:val="99"/>
    <w:semiHidden/>
    <w:rsid w:val="00A05C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05C30"/>
    <w:rPr>
      <w:rFonts w:ascii="Tahoma" w:hAnsi="Tahoma" w:cs="Tahoma"/>
      <w:sz w:val="16"/>
      <w:szCs w:val="16"/>
    </w:rPr>
  </w:style>
  <w:style w:type="paragraph" w:styleId="DipnotMetni">
    <w:name w:val="footnote text"/>
    <w:basedOn w:val="Normal"/>
    <w:link w:val="DipnotMetniChar"/>
    <w:uiPriority w:val="99"/>
    <w:semiHidden/>
    <w:rsid w:val="006E36ED"/>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6E36ED"/>
    <w:rPr>
      <w:rFonts w:cs="Times New Roman"/>
      <w:sz w:val="20"/>
      <w:szCs w:val="20"/>
    </w:rPr>
  </w:style>
  <w:style w:type="character" w:styleId="DipnotBavurusu">
    <w:name w:val="footnote reference"/>
    <w:basedOn w:val="VarsaylanParagrafYazTipi"/>
    <w:uiPriority w:val="99"/>
    <w:semiHidden/>
    <w:rsid w:val="006E36ED"/>
    <w:rPr>
      <w:rFonts w:cs="Times New Roman"/>
      <w:vertAlign w:val="superscript"/>
    </w:rPr>
  </w:style>
  <w:style w:type="table" w:styleId="TabloKlavuzu">
    <w:name w:val="Table Grid"/>
    <w:basedOn w:val="NormalTablo"/>
    <w:uiPriority w:val="99"/>
    <w:rsid w:val="00554E5E"/>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rsid w:val="00554E5E"/>
    <w:rPr>
      <w:rFonts w:cs="Times New Roman"/>
      <w:color w:val="0000FF"/>
      <w:u w:val="single"/>
    </w:rPr>
  </w:style>
  <w:style w:type="paragraph" w:customStyle="1" w:styleId="Default">
    <w:name w:val="Default"/>
    <w:uiPriority w:val="99"/>
    <w:rsid w:val="00B44EE1"/>
    <w:pPr>
      <w:autoSpaceDE w:val="0"/>
      <w:autoSpaceDN w:val="0"/>
      <w:adjustRightInd w:val="0"/>
    </w:pPr>
    <w:rPr>
      <w:rFonts w:ascii="Times New Roman" w:hAnsi="Times New Roman"/>
      <w:color w:val="000000"/>
      <w:sz w:val="24"/>
      <w:szCs w:val="24"/>
    </w:rPr>
  </w:style>
  <w:style w:type="paragraph" w:customStyle="1" w:styleId="CM24">
    <w:name w:val="CM24"/>
    <w:basedOn w:val="Normal"/>
    <w:next w:val="Normal"/>
    <w:uiPriority w:val="99"/>
    <w:rsid w:val="00B44EE1"/>
    <w:pPr>
      <w:widowControl w:val="0"/>
      <w:autoSpaceDE w:val="0"/>
      <w:autoSpaceDN w:val="0"/>
      <w:adjustRightInd w:val="0"/>
      <w:spacing w:after="18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93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E25E4"/>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1E25E4"/>
    <w:rPr>
      <w:rFonts w:cs="Times New Roman"/>
    </w:rPr>
  </w:style>
  <w:style w:type="paragraph" w:styleId="Altbilgi">
    <w:name w:val="footer"/>
    <w:basedOn w:val="Normal"/>
    <w:link w:val="AltbilgiChar"/>
    <w:uiPriority w:val="99"/>
    <w:rsid w:val="001E25E4"/>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1E25E4"/>
    <w:rPr>
      <w:rFonts w:cs="Times New Roman"/>
    </w:rPr>
  </w:style>
  <w:style w:type="paragraph" w:styleId="ListeParagraf">
    <w:name w:val="List Paragraph"/>
    <w:basedOn w:val="Normal"/>
    <w:uiPriority w:val="99"/>
    <w:qFormat/>
    <w:rsid w:val="005B728E"/>
    <w:pPr>
      <w:ind w:left="720"/>
      <w:contextualSpacing/>
    </w:pPr>
  </w:style>
  <w:style w:type="character" w:styleId="AklamaBavurusu">
    <w:name w:val="annotation reference"/>
    <w:basedOn w:val="VarsaylanParagrafYazTipi"/>
    <w:uiPriority w:val="99"/>
    <w:semiHidden/>
    <w:rsid w:val="00A05C30"/>
    <w:rPr>
      <w:rFonts w:cs="Times New Roman"/>
      <w:sz w:val="16"/>
      <w:szCs w:val="16"/>
    </w:rPr>
  </w:style>
  <w:style w:type="paragraph" w:styleId="AklamaMetni">
    <w:name w:val="annotation text"/>
    <w:basedOn w:val="Normal"/>
    <w:link w:val="AklamaMetniChar"/>
    <w:uiPriority w:val="99"/>
    <w:semiHidden/>
    <w:rsid w:val="00A05C30"/>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A05C30"/>
    <w:rPr>
      <w:rFonts w:cs="Times New Roman"/>
      <w:sz w:val="20"/>
      <w:szCs w:val="20"/>
    </w:rPr>
  </w:style>
  <w:style w:type="paragraph" w:styleId="AklamaKonusu">
    <w:name w:val="annotation subject"/>
    <w:basedOn w:val="AklamaMetni"/>
    <w:next w:val="AklamaMetni"/>
    <w:link w:val="AklamaKonusuChar"/>
    <w:uiPriority w:val="99"/>
    <w:semiHidden/>
    <w:rsid w:val="00A05C30"/>
    <w:rPr>
      <w:b/>
      <w:bCs/>
    </w:rPr>
  </w:style>
  <w:style w:type="character" w:customStyle="1" w:styleId="AklamaKonusuChar">
    <w:name w:val="Açıklama Konusu Char"/>
    <w:basedOn w:val="AklamaMetniChar"/>
    <w:link w:val="AklamaKonusu"/>
    <w:uiPriority w:val="99"/>
    <w:semiHidden/>
    <w:locked/>
    <w:rsid w:val="00A05C30"/>
    <w:rPr>
      <w:rFonts w:cs="Times New Roman"/>
      <w:b/>
      <w:bCs/>
      <w:sz w:val="20"/>
      <w:szCs w:val="20"/>
    </w:rPr>
  </w:style>
  <w:style w:type="paragraph" w:styleId="BalonMetni">
    <w:name w:val="Balloon Text"/>
    <w:basedOn w:val="Normal"/>
    <w:link w:val="BalonMetniChar"/>
    <w:uiPriority w:val="99"/>
    <w:semiHidden/>
    <w:rsid w:val="00A05C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05C30"/>
    <w:rPr>
      <w:rFonts w:ascii="Tahoma" w:hAnsi="Tahoma" w:cs="Tahoma"/>
      <w:sz w:val="16"/>
      <w:szCs w:val="16"/>
    </w:rPr>
  </w:style>
  <w:style w:type="paragraph" w:styleId="DipnotMetni">
    <w:name w:val="footnote text"/>
    <w:basedOn w:val="Normal"/>
    <w:link w:val="DipnotMetniChar"/>
    <w:uiPriority w:val="99"/>
    <w:semiHidden/>
    <w:rsid w:val="006E36ED"/>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6E36ED"/>
    <w:rPr>
      <w:rFonts w:cs="Times New Roman"/>
      <w:sz w:val="20"/>
      <w:szCs w:val="20"/>
    </w:rPr>
  </w:style>
  <w:style w:type="character" w:styleId="DipnotBavurusu">
    <w:name w:val="footnote reference"/>
    <w:basedOn w:val="VarsaylanParagrafYazTipi"/>
    <w:uiPriority w:val="99"/>
    <w:semiHidden/>
    <w:rsid w:val="006E36ED"/>
    <w:rPr>
      <w:rFonts w:cs="Times New Roman"/>
      <w:vertAlign w:val="superscript"/>
    </w:rPr>
  </w:style>
  <w:style w:type="table" w:styleId="TabloKlavuzu">
    <w:name w:val="Table Grid"/>
    <w:basedOn w:val="NormalTablo"/>
    <w:uiPriority w:val="99"/>
    <w:rsid w:val="00554E5E"/>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rsid w:val="00554E5E"/>
    <w:rPr>
      <w:rFonts w:cs="Times New Roman"/>
      <w:color w:val="0000FF"/>
      <w:u w:val="single"/>
    </w:rPr>
  </w:style>
  <w:style w:type="paragraph" w:customStyle="1" w:styleId="Default">
    <w:name w:val="Default"/>
    <w:uiPriority w:val="99"/>
    <w:rsid w:val="00B44EE1"/>
    <w:pPr>
      <w:autoSpaceDE w:val="0"/>
      <w:autoSpaceDN w:val="0"/>
      <w:adjustRightInd w:val="0"/>
    </w:pPr>
    <w:rPr>
      <w:rFonts w:ascii="Times New Roman" w:hAnsi="Times New Roman"/>
      <w:color w:val="000000"/>
      <w:sz w:val="24"/>
      <w:szCs w:val="24"/>
    </w:rPr>
  </w:style>
  <w:style w:type="paragraph" w:customStyle="1" w:styleId="CM24">
    <w:name w:val="CM24"/>
    <w:basedOn w:val="Normal"/>
    <w:next w:val="Normal"/>
    <w:uiPriority w:val="99"/>
    <w:rsid w:val="00B44EE1"/>
    <w:pPr>
      <w:widowControl w:val="0"/>
      <w:autoSpaceDE w:val="0"/>
      <w:autoSpaceDN w:val="0"/>
      <w:adjustRightInd w:val="0"/>
      <w:spacing w:after="18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93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2133</Words>
  <Characters>12163</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dc:creator>
  <cp:lastModifiedBy>ismail</cp:lastModifiedBy>
  <cp:revision>2</cp:revision>
  <cp:lastPrinted>2014-01-02T09:42:00Z</cp:lastPrinted>
  <dcterms:created xsi:type="dcterms:W3CDTF">2014-01-29T06:04:00Z</dcterms:created>
  <dcterms:modified xsi:type="dcterms:W3CDTF">2014-01-29T06:04:00Z</dcterms:modified>
</cp:coreProperties>
</file>